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5E4198" w:rsidR="001E41F3" w:rsidRDefault="001E41F3">
      <w:pPr>
        <w:pStyle w:val="CRCoverPage"/>
        <w:tabs>
          <w:tab w:val="right" w:pos="9639"/>
        </w:tabs>
        <w:spacing w:after="0"/>
        <w:rPr>
          <w:b/>
          <w:i/>
          <w:noProof/>
          <w:sz w:val="28"/>
        </w:rPr>
      </w:pPr>
      <w:r>
        <w:rPr>
          <w:b/>
          <w:noProof/>
          <w:sz w:val="24"/>
        </w:rPr>
        <w:t xml:space="preserve">3GPP </w:t>
      </w:r>
      <w:r w:rsidR="00F86E13" w:rsidRPr="00F86E13">
        <w:rPr>
          <w:rFonts w:eastAsia="SimSun" w:cs="Arial"/>
          <w:b/>
          <w:bCs/>
          <w:color w:val="000000"/>
          <w:sz w:val="24"/>
          <w:lang w:eastAsia="ja-JP"/>
        </w:rPr>
        <w:t>SA WG2 Meeting #160-Ad Hoc-e</w:t>
      </w:r>
      <w:r>
        <w:rPr>
          <w:b/>
          <w:i/>
          <w:noProof/>
          <w:sz w:val="28"/>
        </w:rPr>
        <w:tab/>
      </w:r>
      <w:r w:rsidR="006A6853">
        <w:fldChar w:fldCharType="begin"/>
      </w:r>
      <w:r w:rsidR="006A6853">
        <w:instrText xml:space="preserve"> DOCPROPERTY  Tdoc#  \* MERGEFORMAT </w:instrText>
      </w:r>
      <w:r w:rsidR="006A6853">
        <w:fldChar w:fldCharType="separate"/>
      </w:r>
      <w:r w:rsidR="003B527E" w:rsidRPr="003B527E">
        <w:rPr>
          <w:b/>
          <w:i/>
          <w:noProof/>
          <w:sz w:val="28"/>
        </w:rPr>
        <w:t>S2-2401415</w:t>
      </w:r>
      <w:r w:rsidR="00CF4A8E">
        <w:rPr>
          <w:b/>
          <w:i/>
          <w:noProof/>
          <w:sz w:val="28"/>
        </w:rPr>
        <w:t xml:space="preserve">  </w:t>
      </w:r>
      <w:r w:rsidR="006A6853">
        <w:rPr>
          <w:b/>
          <w:i/>
          <w:noProof/>
          <w:sz w:val="28"/>
        </w:rPr>
        <w:fldChar w:fldCharType="end"/>
      </w:r>
    </w:p>
    <w:p w14:paraId="7CB45193" w14:textId="5A9CF79F" w:rsidR="001E41F3" w:rsidRDefault="006A6853" w:rsidP="001A75AE">
      <w:pPr>
        <w:pStyle w:val="CRCoverPage"/>
        <w:tabs>
          <w:tab w:val="right" w:pos="9630"/>
        </w:tabs>
        <w:outlineLvl w:val="0"/>
        <w:rPr>
          <w:b/>
          <w:sz w:val="24"/>
        </w:rPr>
      </w:pPr>
      <w:r>
        <w:fldChar w:fldCharType="begin"/>
      </w:r>
      <w:r>
        <w:instrText xml:space="preserve"> DOCPROPERTY  Location  \* MERGEFORMAT </w:instrText>
      </w:r>
      <w:r>
        <w:fldChar w:fldCharType="separate"/>
      </w:r>
      <w:r w:rsidR="00323651">
        <w:rPr>
          <w:b/>
          <w:noProof/>
          <w:sz w:val="24"/>
        </w:rPr>
        <w:t>Electronic meeting</w:t>
      </w:r>
      <w:r w:rsidR="001A75AE">
        <w:rPr>
          <w:b/>
          <w:noProof/>
          <w:sz w:val="24"/>
        </w:rPr>
        <w:t>,</w:t>
      </w:r>
      <w:r>
        <w:rPr>
          <w:b/>
          <w:noProof/>
          <w:sz w:val="24"/>
        </w:rPr>
        <w:fldChar w:fldCharType="end"/>
      </w:r>
      <w:r w:rsidR="00657931" w:rsidRPr="00657931">
        <w:rPr>
          <w:b/>
          <w:noProof/>
          <w:sz w:val="24"/>
        </w:rPr>
        <w:t xml:space="preserve"> </w:t>
      </w:r>
      <w:r w:rsidR="00323651">
        <w:rPr>
          <w:b/>
          <w:noProof/>
          <w:sz w:val="24"/>
        </w:rPr>
        <w:t>22</w:t>
      </w:r>
      <w:r w:rsidR="00657931" w:rsidRPr="00657931">
        <w:rPr>
          <w:b/>
          <w:noProof/>
          <w:sz w:val="24"/>
        </w:rPr>
        <w:t>-</w:t>
      </w:r>
      <w:r w:rsidR="00323651">
        <w:rPr>
          <w:b/>
          <w:noProof/>
          <w:sz w:val="24"/>
        </w:rPr>
        <w:t>29</w:t>
      </w:r>
      <w:r w:rsidR="00657931" w:rsidRPr="00657931">
        <w:rPr>
          <w:b/>
          <w:noProof/>
          <w:sz w:val="24"/>
        </w:rPr>
        <w:t xml:space="preserve"> </w:t>
      </w:r>
      <w:r w:rsidR="00323651">
        <w:rPr>
          <w:b/>
          <w:noProof/>
          <w:sz w:val="24"/>
        </w:rPr>
        <w:t>January</w:t>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w:t>
      </w:r>
      <w:r w:rsidR="00323651">
        <w:rPr>
          <w:b/>
          <w:noProof/>
          <w:sz w:val="24"/>
        </w:rPr>
        <w:t>4</w:t>
      </w:r>
      <w:r>
        <w:rPr>
          <w:b/>
          <w:noProof/>
          <w:sz w:val="24"/>
        </w:rPr>
        <w:fldChar w:fldCharType="end"/>
      </w:r>
      <w:r w:rsidR="00DE6EBC">
        <w:rPr>
          <w:b/>
          <w:noProof/>
          <w:sz w:val="24"/>
        </w:rPr>
        <w:t xml:space="preserve"> </w:t>
      </w:r>
      <w:r w:rsidR="00DE6EBC">
        <w:rPr>
          <w:b/>
          <w:noProof/>
          <w:sz w:val="24"/>
        </w:rPr>
        <w:tab/>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46271" w:rsidR="001E41F3" w:rsidRPr="00410371" w:rsidRDefault="006A6853" w:rsidP="00DA55E8">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23.50</w:t>
            </w:r>
            <w:r>
              <w:rPr>
                <w:b/>
                <w:noProof/>
                <w:sz w:val="28"/>
              </w:rPr>
              <w:fldChar w:fldCharType="end"/>
            </w:r>
            <w:r w:rsidR="003B549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3AB2B" w:rsidR="001E41F3" w:rsidRPr="00410371" w:rsidRDefault="00AF104D" w:rsidP="00AF10A8">
            <w:pPr>
              <w:pStyle w:val="CRCoverPage"/>
              <w:spacing w:after="0"/>
              <w:jc w:val="center"/>
              <w:rPr>
                <w:noProof/>
              </w:rPr>
            </w:pPr>
            <w:r w:rsidRPr="00AF104D">
              <w:rPr>
                <w:b/>
                <w:noProof/>
                <w:sz w:val="28"/>
              </w:rPr>
              <w:t>1245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92CA0" w:rsidR="001E41F3" w:rsidRPr="00AE1D0C" w:rsidRDefault="006A6853" w:rsidP="00E13F3D">
            <w:pPr>
              <w:pStyle w:val="CRCoverPage"/>
              <w:spacing w:after="0"/>
              <w:jc w:val="center"/>
              <w:rPr>
                <w:b/>
                <w:iCs/>
                <w:noProof/>
              </w:rPr>
            </w:pPr>
            <w:r w:rsidRPr="00FF4C7B">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36929" w:rsidR="001E41F3" w:rsidRPr="00410371" w:rsidRDefault="006A6853">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2743A5">
              <w:rPr>
                <w:b/>
                <w:noProof/>
                <w:sz w:val="28"/>
              </w:rPr>
              <w:t>4</w:t>
            </w:r>
            <w:r w:rsidR="0039031C">
              <w:rPr>
                <w:b/>
                <w:noProof/>
                <w:sz w:val="28"/>
              </w:rPr>
              <w:t>.</w:t>
            </w:r>
            <w:r>
              <w:rPr>
                <w:b/>
                <w:noProof/>
                <w:sz w:val="28"/>
              </w:rPr>
              <w:fldChar w:fldCharType="end"/>
            </w:r>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9A474" w:rsidR="00F25D98" w:rsidRDefault="00AD7E6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AA24" w:rsidR="00F25D98" w:rsidRDefault="00AD7E6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97C2A" w:rsidR="001E41F3" w:rsidRDefault="005D2CE8">
            <w:pPr>
              <w:pStyle w:val="CRCoverPage"/>
              <w:spacing w:after="0"/>
              <w:ind w:left="100"/>
              <w:rPr>
                <w:noProof/>
              </w:rPr>
            </w:pPr>
            <w:r>
              <w:rPr>
                <w:noProof/>
              </w:rPr>
              <w:t>Protocol Description for</w:t>
            </w:r>
            <w:r w:rsidR="00E46DAF">
              <w:rPr>
                <w:noProof/>
              </w:rPr>
              <w:t xml:space="preserve"> </w:t>
            </w:r>
            <w:r w:rsidR="00E46DAF" w:rsidRPr="00E83D58">
              <w:rPr>
                <w:noProof/>
              </w:rPr>
              <w:t>UL and DL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E46D0" w:rsidR="001E41F3" w:rsidRDefault="007B2C38">
            <w:pPr>
              <w:pStyle w:val="CRCoverPage"/>
              <w:spacing w:after="0"/>
              <w:ind w:left="100"/>
              <w:rPr>
                <w:noProof/>
              </w:rPr>
            </w:pPr>
            <w:r>
              <w:rPr>
                <w:noProof/>
              </w:rPr>
              <w:t>Ericsson</w:t>
            </w:r>
            <w:r w:rsidR="0046316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6A685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35930" w:rsidR="001E41F3" w:rsidRDefault="0006723C">
            <w:pPr>
              <w:pStyle w:val="CRCoverPage"/>
              <w:spacing w:after="0"/>
              <w:ind w:left="100"/>
              <w:rPr>
                <w:noProof/>
              </w:rPr>
            </w:pPr>
            <w:r>
              <w:t>202</w:t>
            </w:r>
            <w:r w:rsidR="00323651">
              <w:t>4</w:t>
            </w:r>
            <w:r>
              <w:t>-</w:t>
            </w:r>
            <w:r w:rsidR="00323651">
              <w:t>01</w:t>
            </w:r>
            <w:r>
              <w:t>-</w:t>
            </w:r>
            <w:r w:rsidR="00A9470A">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6A685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AAB58" w14:textId="77777777" w:rsidR="004F0EBA" w:rsidRDefault="004F0EBA" w:rsidP="004F0EBA">
            <w:pPr>
              <w:pStyle w:val="B3"/>
              <w:ind w:left="51" w:firstLine="0"/>
              <w:rPr>
                <w:rFonts w:ascii="Arial" w:hAnsi="Arial" w:cs="Arial"/>
                <w:noProof/>
              </w:rPr>
            </w:pPr>
            <w:r>
              <w:rPr>
                <w:rFonts w:ascii="Arial" w:hAnsi="Arial" w:cs="Arial"/>
                <w:noProof/>
              </w:rPr>
              <w:t>PDU Set QoS parameters may be different for UL and DL traffic but nothing is said about the Protocol Description, which implies that the Protocol Description for UL and DL is the same.</w:t>
            </w:r>
          </w:p>
          <w:p w14:paraId="708AA7DE" w14:textId="1B7C2C1B" w:rsidR="00B56136" w:rsidRPr="00084CC6" w:rsidRDefault="004F0EBA" w:rsidP="004F0EBA">
            <w:pPr>
              <w:pStyle w:val="B3"/>
              <w:ind w:left="51" w:firstLine="0"/>
              <w:rPr>
                <w:rFonts w:ascii="Arial" w:hAnsi="Arial" w:cs="Arial"/>
                <w:noProof/>
              </w:rPr>
            </w:pPr>
            <w:r>
              <w:rPr>
                <w:rFonts w:ascii="Arial" w:hAnsi="Arial" w:cs="Arial"/>
                <w:noProof/>
              </w:rPr>
              <w:t>However, it is possible to have media transmission with different parameters in UL and DL directions, e.g. by having asymmetrical payload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189ED" w14:textId="4C19CD31" w:rsidR="006676FB" w:rsidRDefault="00370929" w:rsidP="00DB3BAB">
            <w:pPr>
              <w:spacing w:after="0"/>
              <w:rPr>
                <w:rFonts w:ascii="Arial" w:hAnsi="Arial"/>
                <w:noProof/>
                <w:lang w:eastAsia="zh-CN"/>
              </w:rPr>
            </w:pPr>
            <w:r w:rsidRPr="00DF2039">
              <w:rPr>
                <w:rFonts w:ascii="Arial" w:hAnsi="Arial"/>
                <w:noProof/>
                <w:lang w:eastAsia="zh-CN"/>
              </w:rPr>
              <w:t>This CR allows for different Protocol Descriptions for UL and DL within the same QoS flow.</w:t>
            </w:r>
          </w:p>
          <w:p w14:paraId="633FE82B" w14:textId="77777777" w:rsidR="00E42EF9" w:rsidRDefault="00E42EF9" w:rsidP="00DB3BAB">
            <w:pPr>
              <w:spacing w:after="0"/>
              <w:rPr>
                <w:rFonts w:ascii="Arial" w:hAnsi="Arial"/>
                <w:noProof/>
                <w:lang w:eastAsia="zh-CN"/>
              </w:rPr>
            </w:pPr>
          </w:p>
          <w:p w14:paraId="1512A9A7" w14:textId="30B29EDE" w:rsidR="00E42EF9" w:rsidRDefault="00E42EF9" w:rsidP="00DB3BAB">
            <w:pPr>
              <w:spacing w:after="0"/>
              <w:rPr>
                <w:rFonts w:ascii="Arial" w:hAnsi="Arial"/>
                <w:noProof/>
                <w:lang w:eastAsia="zh-CN"/>
              </w:rPr>
            </w:pPr>
            <w:r>
              <w:rPr>
                <w:rFonts w:ascii="Arial" w:hAnsi="Arial"/>
                <w:noProof/>
                <w:lang w:eastAsia="zh-CN"/>
              </w:rPr>
              <w:t>It also makes clear that</w:t>
            </w:r>
            <w:r w:rsidR="00EF0993">
              <w:rPr>
                <w:rFonts w:ascii="Arial" w:hAnsi="Arial"/>
                <w:noProof/>
                <w:lang w:eastAsia="zh-CN"/>
              </w:rPr>
              <w:t xml:space="preserve"> the PCC Rule may carry 2 Protocol Descriptions</w:t>
            </w:r>
            <w:r w:rsidR="00D741BD">
              <w:rPr>
                <w:rFonts w:ascii="Arial" w:hAnsi="Arial"/>
                <w:noProof/>
                <w:lang w:eastAsia="zh-CN"/>
              </w:rPr>
              <w:t>, for UL and DL</w:t>
            </w:r>
            <w:r w:rsidR="00EF0993">
              <w:rPr>
                <w:rFonts w:ascii="Arial" w:hAnsi="Arial"/>
                <w:noProof/>
                <w:lang w:eastAsia="zh-CN"/>
              </w:rPr>
              <w:t>.</w:t>
            </w:r>
          </w:p>
          <w:p w14:paraId="775D2E3D" w14:textId="7CBFA4C8" w:rsidR="0041525A" w:rsidRDefault="0041525A" w:rsidP="00DB3BAB">
            <w:pPr>
              <w:spacing w:after="0"/>
              <w:rPr>
                <w:rFonts w:ascii="Arial" w:hAnsi="Arial"/>
                <w:noProof/>
                <w:lang w:eastAsia="zh-CN"/>
              </w:rPr>
            </w:pPr>
          </w:p>
          <w:p w14:paraId="31C656EC" w14:textId="135DA7CF" w:rsidR="0041525A" w:rsidRPr="00124D46" w:rsidRDefault="0041525A" w:rsidP="00DB3BAB">
            <w:pPr>
              <w:spacing w:after="0"/>
              <w:rPr>
                <w:rFonts w:ascii="Arial" w:hAnsi="Arial"/>
                <w:noProof/>
                <w:lang w:eastAsia="zh-CN"/>
              </w:rPr>
            </w:pPr>
            <w:r>
              <w:rPr>
                <w:rFonts w:ascii="Arial" w:hAnsi="Arial"/>
                <w:noProof/>
                <w:lang w:eastAsia="zh-CN"/>
              </w:rPr>
              <w:t>It is also cla</w:t>
            </w:r>
            <w:r w:rsidR="00713D8F">
              <w:rPr>
                <w:rFonts w:ascii="Arial" w:hAnsi="Arial"/>
                <w:noProof/>
                <w:lang w:eastAsia="zh-CN"/>
              </w:rPr>
              <w:t>rified that the PDU Set QoS parameters within the PDU Set C</w:t>
            </w:r>
            <w:r w:rsidR="005D7856">
              <w:rPr>
                <w:rFonts w:ascii="Arial" w:hAnsi="Arial"/>
                <w:noProof/>
                <w:lang w:eastAsia="zh-CN"/>
              </w:rPr>
              <w:t>ontrol Information may be different for UL and DL.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F2996" w14:paraId="678D7BF9" w14:textId="77777777" w:rsidTr="00547111">
        <w:tc>
          <w:tcPr>
            <w:tcW w:w="2694" w:type="dxa"/>
            <w:gridSpan w:val="2"/>
            <w:tcBorders>
              <w:left w:val="single" w:sz="4" w:space="0" w:color="auto"/>
              <w:bottom w:val="single" w:sz="4" w:space="0" w:color="auto"/>
            </w:tcBorders>
          </w:tcPr>
          <w:p w14:paraId="4E5CE1B6" w14:textId="77777777" w:rsidR="00DF2996" w:rsidRDefault="00DF2996" w:rsidP="00DF2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D07DD" w:rsidR="00DF2996" w:rsidRDefault="00DF2996" w:rsidP="00DF2996">
            <w:pPr>
              <w:pStyle w:val="CRCoverPage"/>
              <w:spacing w:after="0"/>
              <w:rPr>
                <w:noProof/>
              </w:rPr>
            </w:pPr>
            <w:r>
              <w:rPr>
                <w:noProof/>
                <w:lang w:eastAsia="zh-CN"/>
              </w:rPr>
              <w:t>I</w:t>
            </w:r>
            <w:r w:rsidRPr="004C0592">
              <w:rPr>
                <w:noProof/>
                <w:lang w:eastAsia="zh-CN"/>
              </w:rPr>
              <w:t>t is not possible to have different media encodings for UL and DL, including asymmetrical payload types.</w:t>
            </w:r>
          </w:p>
        </w:tc>
      </w:tr>
      <w:tr w:rsidR="00DF2996" w14:paraId="034AF533" w14:textId="77777777" w:rsidTr="00547111">
        <w:tc>
          <w:tcPr>
            <w:tcW w:w="2694" w:type="dxa"/>
            <w:gridSpan w:val="2"/>
          </w:tcPr>
          <w:p w14:paraId="39D9EB5B" w14:textId="77777777" w:rsidR="00DF2996" w:rsidRDefault="00DF2996" w:rsidP="00DF2996">
            <w:pPr>
              <w:pStyle w:val="CRCoverPage"/>
              <w:spacing w:after="0"/>
              <w:rPr>
                <w:b/>
                <w:i/>
                <w:noProof/>
                <w:sz w:val="8"/>
                <w:szCs w:val="8"/>
              </w:rPr>
            </w:pPr>
          </w:p>
        </w:tc>
        <w:tc>
          <w:tcPr>
            <w:tcW w:w="6946" w:type="dxa"/>
            <w:gridSpan w:val="9"/>
          </w:tcPr>
          <w:p w14:paraId="7826CB1C" w14:textId="77777777" w:rsidR="00DF2996" w:rsidRDefault="00DF2996" w:rsidP="00DF2996">
            <w:pPr>
              <w:pStyle w:val="CRCoverPage"/>
              <w:spacing w:after="0"/>
              <w:rPr>
                <w:noProof/>
                <w:sz w:val="8"/>
                <w:szCs w:val="8"/>
              </w:rPr>
            </w:pPr>
          </w:p>
        </w:tc>
      </w:tr>
      <w:tr w:rsidR="00DF2996" w14:paraId="6A17D7AC" w14:textId="77777777" w:rsidTr="00547111">
        <w:tc>
          <w:tcPr>
            <w:tcW w:w="2694" w:type="dxa"/>
            <w:gridSpan w:val="2"/>
            <w:tcBorders>
              <w:top w:val="single" w:sz="4" w:space="0" w:color="auto"/>
              <w:left w:val="single" w:sz="4" w:space="0" w:color="auto"/>
            </w:tcBorders>
          </w:tcPr>
          <w:p w14:paraId="6DAD5B19" w14:textId="77777777" w:rsidR="00DF2996" w:rsidRDefault="00DF2996" w:rsidP="00DF2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1216D" w:rsidR="00DF2996" w:rsidRDefault="00757E4E" w:rsidP="00DF2996">
            <w:pPr>
              <w:pStyle w:val="CRCoverPage"/>
              <w:spacing w:after="0"/>
              <w:rPr>
                <w:noProof/>
              </w:rPr>
            </w:pPr>
            <w:r w:rsidRPr="00757E4E">
              <w:rPr>
                <w:noProof/>
              </w:rPr>
              <w:t>6.1.3.27.4</w:t>
            </w:r>
            <w:r>
              <w:rPr>
                <w:noProof/>
              </w:rPr>
              <w:t xml:space="preserve">, </w:t>
            </w:r>
            <w:r w:rsidRPr="00757E4E">
              <w:rPr>
                <w:noProof/>
              </w:rPr>
              <w:t>6.1.3.27.5</w:t>
            </w:r>
            <w:r>
              <w:rPr>
                <w:noProof/>
              </w:rPr>
              <w:t xml:space="preserve">, </w:t>
            </w:r>
            <w:r w:rsidRPr="00757E4E">
              <w:rPr>
                <w:noProof/>
              </w:rPr>
              <w:t>6.3.1</w:t>
            </w:r>
          </w:p>
        </w:tc>
      </w:tr>
      <w:tr w:rsidR="00DF2996" w14:paraId="56E1E6C3" w14:textId="77777777" w:rsidTr="00547111">
        <w:tc>
          <w:tcPr>
            <w:tcW w:w="2694" w:type="dxa"/>
            <w:gridSpan w:val="2"/>
            <w:tcBorders>
              <w:left w:val="single" w:sz="4" w:space="0" w:color="auto"/>
            </w:tcBorders>
          </w:tcPr>
          <w:p w14:paraId="2FB9DE77" w14:textId="77777777" w:rsidR="00DF2996" w:rsidRDefault="00DF2996" w:rsidP="00DF2996">
            <w:pPr>
              <w:pStyle w:val="CRCoverPage"/>
              <w:spacing w:after="0"/>
              <w:rPr>
                <w:b/>
                <w:i/>
                <w:noProof/>
                <w:sz w:val="8"/>
                <w:szCs w:val="8"/>
              </w:rPr>
            </w:pPr>
          </w:p>
        </w:tc>
        <w:tc>
          <w:tcPr>
            <w:tcW w:w="6946" w:type="dxa"/>
            <w:gridSpan w:val="9"/>
            <w:tcBorders>
              <w:right w:val="single" w:sz="4" w:space="0" w:color="auto"/>
            </w:tcBorders>
          </w:tcPr>
          <w:p w14:paraId="0898542D" w14:textId="77777777" w:rsidR="00DF2996" w:rsidRDefault="00DF2996" w:rsidP="00DF2996">
            <w:pPr>
              <w:pStyle w:val="CRCoverPage"/>
              <w:spacing w:after="0"/>
              <w:rPr>
                <w:noProof/>
                <w:sz w:val="8"/>
                <w:szCs w:val="8"/>
              </w:rPr>
            </w:pPr>
          </w:p>
        </w:tc>
      </w:tr>
      <w:tr w:rsidR="00DF2996" w14:paraId="76F95A8B" w14:textId="77777777" w:rsidTr="00547111">
        <w:tc>
          <w:tcPr>
            <w:tcW w:w="2694" w:type="dxa"/>
            <w:gridSpan w:val="2"/>
            <w:tcBorders>
              <w:left w:val="single" w:sz="4" w:space="0" w:color="auto"/>
            </w:tcBorders>
          </w:tcPr>
          <w:p w14:paraId="335EAB52" w14:textId="77777777" w:rsidR="00DF2996" w:rsidRDefault="00DF2996" w:rsidP="00DF2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2996" w:rsidRDefault="00DF2996" w:rsidP="00DF2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2996" w:rsidRDefault="00DF2996" w:rsidP="00DF2996">
            <w:pPr>
              <w:pStyle w:val="CRCoverPage"/>
              <w:spacing w:after="0"/>
              <w:jc w:val="center"/>
              <w:rPr>
                <w:b/>
                <w:caps/>
                <w:noProof/>
              </w:rPr>
            </w:pPr>
            <w:r>
              <w:rPr>
                <w:b/>
                <w:caps/>
                <w:noProof/>
              </w:rPr>
              <w:t>N</w:t>
            </w:r>
          </w:p>
        </w:tc>
        <w:tc>
          <w:tcPr>
            <w:tcW w:w="2977" w:type="dxa"/>
            <w:gridSpan w:val="4"/>
          </w:tcPr>
          <w:p w14:paraId="304CCBCB" w14:textId="77777777" w:rsidR="00DF2996" w:rsidRDefault="00DF2996" w:rsidP="00DF2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2996" w:rsidRDefault="00DF2996" w:rsidP="00DF2996">
            <w:pPr>
              <w:pStyle w:val="CRCoverPage"/>
              <w:spacing w:after="0"/>
              <w:ind w:left="99"/>
              <w:rPr>
                <w:noProof/>
              </w:rPr>
            </w:pPr>
          </w:p>
        </w:tc>
      </w:tr>
      <w:tr w:rsidR="00DF2996" w14:paraId="34ACE2EB" w14:textId="77777777" w:rsidTr="00547111">
        <w:tc>
          <w:tcPr>
            <w:tcW w:w="2694" w:type="dxa"/>
            <w:gridSpan w:val="2"/>
            <w:tcBorders>
              <w:left w:val="single" w:sz="4" w:space="0" w:color="auto"/>
            </w:tcBorders>
          </w:tcPr>
          <w:p w14:paraId="571382F3" w14:textId="77777777" w:rsidR="00DF2996" w:rsidRDefault="00DF2996" w:rsidP="00DF2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2500E8" w:rsidR="00DF2996" w:rsidRDefault="00D5516F" w:rsidP="00DF29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80A9C" w:rsidR="00DF2996" w:rsidRDefault="00DF2996" w:rsidP="00DF2996">
            <w:pPr>
              <w:pStyle w:val="CRCoverPage"/>
              <w:spacing w:after="0"/>
              <w:jc w:val="center"/>
              <w:rPr>
                <w:b/>
                <w:caps/>
                <w:noProof/>
              </w:rPr>
            </w:pPr>
          </w:p>
        </w:tc>
        <w:tc>
          <w:tcPr>
            <w:tcW w:w="2977" w:type="dxa"/>
            <w:gridSpan w:val="4"/>
          </w:tcPr>
          <w:p w14:paraId="7DB274D8" w14:textId="77777777" w:rsidR="00DF2996" w:rsidRDefault="00DF2996" w:rsidP="00DF2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C7416" w:rsidR="00DF2996" w:rsidRDefault="00DF2996" w:rsidP="00DF2996">
            <w:pPr>
              <w:pStyle w:val="CRCoverPage"/>
              <w:spacing w:after="0"/>
              <w:ind w:left="99"/>
              <w:rPr>
                <w:noProof/>
              </w:rPr>
            </w:pPr>
            <w:r>
              <w:rPr>
                <w:noProof/>
              </w:rPr>
              <w:t>TS</w:t>
            </w:r>
            <w:r w:rsidR="00D5516F">
              <w:rPr>
                <w:noProof/>
              </w:rPr>
              <w:t xml:space="preserve"> 23.50</w:t>
            </w:r>
            <w:r w:rsidR="00ED6651">
              <w:rPr>
                <w:noProof/>
              </w:rPr>
              <w:t>1</w:t>
            </w:r>
            <w:r>
              <w:rPr>
                <w:noProof/>
              </w:rPr>
              <w:t xml:space="preserve"> CR </w:t>
            </w:r>
            <w:r w:rsidR="00E81FB1">
              <w:rPr>
                <w:noProof/>
              </w:rPr>
              <w:t>5228</w:t>
            </w:r>
          </w:p>
        </w:tc>
      </w:tr>
      <w:tr w:rsidR="00DF2996" w14:paraId="446DDBAC" w14:textId="77777777" w:rsidTr="00547111">
        <w:tc>
          <w:tcPr>
            <w:tcW w:w="2694" w:type="dxa"/>
            <w:gridSpan w:val="2"/>
            <w:tcBorders>
              <w:left w:val="single" w:sz="4" w:space="0" w:color="auto"/>
            </w:tcBorders>
          </w:tcPr>
          <w:p w14:paraId="678A1AA6" w14:textId="77777777" w:rsidR="00DF2996" w:rsidRDefault="00DF2996" w:rsidP="00DF2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2996" w:rsidRDefault="00DF2996" w:rsidP="00DF2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DF2996" w:rsidRDefault="00DF2996" w:rsidP="00DF2996">
            <w:pPr>
              <w:pStyle w:val="CRCoverPage"/>
              <w:spacing w:after="0"/>
              <w:jc w:val="center"/>
              <w:rPr>
                <w:b/>
                <w:caps/>
                <w:noProof/>
              </w:rPr>
            </w:pPr>
            <w:r>
              <w:rPr>
                <w:b/>
                <w:caps/>
                <w:noProof/>
              </w:rPr>
              <w:t>X</w:t>
            </w:r>
          </w:p>
        </w:tc>
        <w:tc>
          <w:tcPr>
            <w:tcW w:w="2977" w:type="dxa"/>
            <w:gridSpan w:val="4"/>
          </w:tcPr>
          <w:p w14:paraId="1A4306D9" w14:textId="77777777" w:rsidR="00DF2996" w:rsidRDefault="00DF2996" w:rsidP="00DF2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418B7" w:rsidR="00DF2996" w:rsidRDefault="00DF2996" w:rsidP="00DF2996">
            <w:pPr>
              <w:pStyle w:val="CRCoverPage"/>
              <w:spacing w:after="0"/>
              <w:ind w:left="99"/>
              <w:rPr>
                <w:noProof/>
              </w:rPr>
            </w:pPr>
          </w:p>
        </w:tc>
      </w:tr>
      <w:tr w:rsidR="00DF2996" w14:paraId="55C714D2" w14:textId="77777777" w:rsidTr="00547111">
        <w:tc>
          <w:tcPr>
            <w:tcW w:w="2694" w:type="dxa"/>
            <w:gridSpan w:val="2"/>
            <w:tcBorders>
              <w:left w:val="single" w:sz="4" w:space="0" w:color="auto"/>
            </w:tcBorders>
          </w:tcPr>
          <w:p w14:paraId="45913E62" w14:textId="77777777" w:rsidR="00DF2996" w:rsidRDefault="00DF2996" w:rsidP="00DF2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2996" w:rsidRDefault="00DF2996" w:rsidP="00DF2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DF2996" w:rsidRDefault="00DF2996" w:rsidP="00DF2996">
            <w:pPr>
              <w:pStyle w:val="CRCoverPage"/>
              <w:spacing w:after="0"/>
              <w:jc w:val="center"/>
              <w:rPr>
                <w:b/>
                <w:caps/>
                <w:noProof/>
              </w:rPr>
            </w:pPr>
            <w:r>
              <w:rPr>
                <w:b/>
                <w:caps/>
                <w:noProof/>
              </w:rPr>
              <w:t>X</w:t>
            </w:r>
          </w:p>
        </w:tc>
        <w:tc>
          <w:tcPr>
            <w:tcW w:w="2977" w:type="dxa"/>
            <w:gridSpan w:val="4"/>
          </w:tcPr>
          <w:p w14:paraId="1B4FF921" w14:textId="77777777" w:rsidR="00DF2996" w:rsidRDefault="00DF2996" w:rsidP="00DF2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D2DA2" w:rsidR="00DF2996" w:rsidRDefault="00DF2996" w:rsidP="00DF2996">
            <w:pPr>
              <w:pStyle w:val="CRCoverPage"/>
              <w:spacing w:after="0"/>
              <w:ind w:left="99"/>
              <w:rPr>
                <w:noProof/>
              </w:rPr>
            </w:pPr>
          </w:p>
        </w:tc>
      </w:tr>
      <w:tr w:rsidR="00DF2996" w14:paraId="60DF82CC" w14:textId="77777777" w:rsidTr="008863B9">
        <w:tc>
          <w:tcPr>
            <w:tcW w:w="2694" w:type="dxa"/>
            <w:gridSpan w:val="2"/>
            <w:tcBorders>
              <w:left w:val="single" w:sz="4" w:space="0" w:color="auto"/>
            </w:tcBorders>
          </w:tcPr>
          <w:p w14:paraId="517696CD" w14:textId="77777777" w:rsidR="00DF2996" w:rsidRDefault="00DF2996" w:rsidP="00DF2996">
            <w:pPr>
              <w:pStyle w:val="CRCoverPage"/>
              <w:spacing w:after="0"/>
              <w:rPr>
                <w:b/>
                <w:i/>
                <w:noProof/>
              </w:rPr>
            </w:pPr>
          </w:p>
        </w:tc>
        <w:tc>
          <w:tcPr>
            <w:tcW w:w="6946" w:type="dxa"/>
            <w:gridSpan w:val="9"/>
            <w:tcBorders>
              <w:right w:val="single" w:sz="4" w:space="0" w:color="auto"/>
            </w:tcBorders>
          </w:tcPr>
          <w:p w14:paraId="4D84207F" w14:textId="77777777" w:rsidR="00DF2996" w:rsidRDefault="00DF2996" w:rsidP="00DF2996">
            <w:pPr>
              <w:pStyle w:val="CRCoverPage"/>
              <w:spacing w:after="0"/>
              <w:rPr>
                <w:noProof/>
              </w:rPr>
            </w:pPr>
          </w:p>
        </w:tc>
      </w:tr>
      <w:tr w:rsidR="00DF2996" w14:paraId="556B87B6" w14:textId="77777777" w:rsidTr="008863B9">
        <w:tc>
          <w:tcPr>
            <w:tcW w:w="2694" w:type="dxa"/>
            <w:gridSpan w:val="2"/>
            <w:tcBorders>
              <w:left w:val="single" w:sz="4" w:space="0" w:color="auto"/>
              <w:bottom w:val="single" w:sz="4" w:space="0" w:color="auto"/>
            </w:tcBorders>
          </w:tcPr>
          <w:p w14:paraId="79A9C411" w14:textId="77777777" w:rsidR="00DF2996" w:rsidRDefault="00DF2996" w:rsidP="00DF2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2996" w:rsidRDefault="00DF2996" w:rsidP="00DF2996">
            <w:pPr>
              <w:pStyle w:val="CRCoverPage"/>
              <w:spacing w:after="0"/>
              <w:ind w:left="100"/>
              <w:rPr>
                <w:noProof/>
              </w:rPr>
            </w:pPr>
          </w:p>
        </w:tc>
      </w:tr>
      <w:tr w:rsidR="00DF2996" w:rsidRPr="008863B9" w14:paraId="45BFE792" w14:textId="77777777" w:rsidTr="008863B9">
        <w:tc>
          <w:tcPr>
            <w:tcW w:w="2694" w:type="dxa"/>
            <w:gridSpan w:val="2"/>
            <w:tcBorders>
              <w:top w:val="single" w:sz="4" w:space="0" w:color="auto"/>
              <w:bottom w:val="single" w:sz="4" w:space="0" w:color="auto"/>
            </w:tcBorders>
          </w:tcPr>
          <w:p w14:paraId="194242DD" w14:textId="77777777" w:rsidR="00DF2996" w:rsidRPr="008863B9" w:rsidRDefault="00DF2996" w:rsidP="00DF2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2996" w:rsidRPr="008863B9" w:rsidRDefault="00DF2996" w:rsidP="00DF2996">
            <w:pPr>
              <w:pStyle w:val="CRCoverPage"/>
              <w:spacing w:after="0"/>
              <w:ind w:left="100"/>
              <w:rPr>
                <w:noProof/>
                <w:sz w:val="8"/>
                <w:szCs w:val="8"/>
              </w:rPr>
            </w:pPr>
          </w:p>
        </w:tc>
      </w:tr>
      <w:tr w:rsidR="00DF29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2996" w:rsidRDefault="00DF2996" w:rsidP="00DF2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DF2996" w:rsidRDefault="00DF2996" w:rsidP="00DF29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5B3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0A9AD5C0" w14:textId="77777777" w:rsidR="004C50B9" w:rsidRPr="004C50B9" w:rsidRDefault="004C50B9" w:rsidP="004C50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0" w:name="_Toc153803033"/>
      <w:bookmarkEnd w:id="8"/>
      <w:bookmarkEnd w:id="9"/>
      <w:r w:rsidRPr="004C50B9">
        <w:rPr>
          <w:rFonts w:ascii="Arial" w:eastAsia="Times New Roman" w:hAnsi="Arial"/>
          <w:sz w:val="22"/>
          <w:lang w:eastAsia="zh-CN"/>
        </w:rPr>
        <w:t>6.1.3.27.4</w:t>
      </w:r>
      <w:r w:rsidRPr="004C50B9">
        <w:rPr>
          <w:rFonts w:ascii="Arial" w:eastAsia="Times New Roman" w:hAnsi="Arial"/>
          <w:sz w:val="22"/>
          <w:lang w:eastAsia="zh-CN"/>
        </w:rPr>
        <w:tab/>
        <w:t>PDU Set QoS handling</w:t>
      </w:r>
      <w:bookmarkEnd w:id="10"/>
    </w:p>
    <w:p w14:paraId="7106ED41" w14:textId="19FA4C36" w:rsidR="004C50B9" w:rsidRP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 xml:space="preserve">PDU Set QoS handling support is defined in clause 5.37.5 of TS 23.501 [2]. The PCF may, based on local configuration or on information received from the AF, generate PDU Set Control Information and the PCF includes the </w:t>
      </w:r>
      <w:ins w:id="11" w:author="Ericsson" w:date="2024-01-11T15:45:00Z">
        <w:r w:rsidR="00507127">
          <w:rPr>
            <w:rFonts w:eastAsia="Times New Roman"/>
            <w:lang w:eastAsia="zh-CN"/>
          </w:rPr>
          <w:t xml:space="preserve">UL and/or DL </w:t>
        </w:r>
      </w:ins>
      <w:r w:rsidRPr="004C50B9">
        <w:rPr>
          <w:rFonts w:eastAsia="Times New Roman"/>
          <w:lang w:eastAsia="zh-CN"/>
        </w:rPr>
        <w:t xml:space="preserve">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 it is </w:t>
      </w:r>
      <w:del w:id="12" w:author="Huawei-Hui-D4" w:date="2024-01-25T17:05:00Z">
        <w:r w:rsidRPr="00370813" w:rsidDel="0046316E">
          <w:rPr>
            <w:rFonts w:eastAsia="Times New Roman"/>
            <w:lang w:eastAsia="zh-CN"/>
          </w:rPr>
          <w:delText>provided to the PSA UPF</w:delText>
        </w:r>
      </w:del>
      <w:ins w:id="13" w:author="Huawei-Hui-D4" w:date="2024-01-25T17:05:00Z">
        <w:r w:rsidR="0046316E" w:rsidRPr="00370813">
          <w:rPr>
            <w:rFonts w:eastAsia="Times New Roman"/>
            <w:lang w:eastAsia="zh-CN"/>
          </w:rPr>
          <w:t>used</w:t>
        </w:r>
      </w:ins>
      <w:r w:rsidRPr="004C50B9">
        <w:rPr>
          <w:rFonts w:eastAsia="Times New Roman"/>
          <w:lang w:eastAsia="zh-CN"/>
        </w:rPr>
        <w:t xml:space="preserve"> for PDU Set identification (as described in clause 5.37.5 of TS 23.501 [2]).</w:t>
      </w:r>
    </w:p>
    <w:p w14:paraId="31C8D3E5" w14:textId="1EC43475" w:rsid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QoS handling and the Protocol Description</w:t>
      </w:r>
      <w:ins w:id="14" w:author="Ericsson" w:date="2024-01-11T15:47:00Z">
        <w:r w:rsidR="00213CC9">
          <w:rPr>
            <w:rFonts w:eastAsia="Times New Roman"/>
            <w:lang w:eastAsia="zh-CN"/>
          </w:rPr>
          <w:t xml:space="preserve"> (UL and/or DL)</w:t>
        </w:r>
      </w:ins>
      <w:r w:rsidRPr="004C50B9">
        <w:rPr>
          <w:rFonts w:eastAsia="Times New Roman"/>
          <w:lang w:eastAsia="zh-CN"/>
        </w:rPr>
        <w:t>.</w:t>
      </w:r>
    </w:p>
    <w:p w14:paraId="3458E502" w14:textId="77777777" w:rsidR="00954BE9" w:rsidRPr="00B63D8A" w:rsidRDefault="00954BE9" w:rsidP="00954BE9">
      <w:pPr>
        <w:pStyle w:val="10"/>
        <w:rPr>
          <w:b w:val="0"/>
          <w:bCs w:val="0"/>
          <w:color w:val="FF0000"/>
        </w:rPr>
      </w:pPr>
      <w:r w:rsidRPr="00B63D8A">
        <w:rPr>
          <w:b w:val="0"/>
          <w:bCs w:val="0"/>
          <w:color w:val="FF0000"/>
        </w:rPr>
        <w:t>* * * Next Change * * *</w:t>
      </w:r>
    </w:p>
    <w:p w14:paraId="622EB169" w14:textId="77777777" w:rsidR="00954BE9" w:rsidRPr="004C50B9" w:rsidRDefault="00954BE9" w:rsidP="004C50B9">
      <w:pPr>
        <w:overflowPunct w:val="0"/>
        <w:autoSpaceDE w:val="0"/>
        <w:autoSpaceDN w:val="0"/>
        <w:adjustRightInd w:val="0"/>
        <w:textAlignment w:val="baseline"/>
        <w:rPr>
          <w:rFonts w:eastAsia="Times New Roman"/>
          <w:lang w:eastAsia="zh-CN"/>
        </w:rPr>
      </w:pPr>
    </w:p>
    <w:p w14:paraId="0075C6A5" w14:textId="77777777" w:rsidR="004C50B9" w:rsidRPr="004C50B9" w:rsidRDefault="004C50B9" w:rsidP="004C50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5" w:name="_CR6_1_3_28"/>
      <w:bookmarkStart w:id="16" w:name="_Toc153803034"/>
      <w:bookmarkEnd w:id="15"/>
      <w:r w:rsidRPr="004C50B9">
        <w:rPr>
          <w:rFonts w:ascii="Arial" w:eastAsia="Times New Roman" w:hAnsi="Arial"/>
          <w:sz w:val="22"/>
          <w:lang w:eastAsia="zh-CN"/>
        </w:rPr>
        <w:t>6.1.3.27.5</w:t>
      </w:r>
      <w:r w:rsidRPr="004C50B9">
        <w:rPr>
          <w:rFonts w:ascii="Arial" w:eastAsia="Times New Roman" w:hAnsi="Arial"/>
          <w:sz w:val="22"/>
          <w:lang w:eastAsia="zh-CN"/>
        </w:rPr>
        <w:tab/>
        <w:t>Data Burst Based Handling</w:t>
      </w:r>
      <w:bookmarkEnd w:id="16"/>
    </w:p>
    <w:p w14:paraId="4152623C" w14:textId="5547236D" w:rsidR="004C50B9" w:rsidRP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 xml:space="preserve">The detection and marking of End of Data Burst is defined in clause 5.37.8.3 of TS 23.501 [2]. Based on the AF provided </w:t>
      </w:r>
      <w:ins w:id="17" w:author="Ericsson" w:date="2024-01-11T15:47:00Z">
        <w:r w:rsidR="002B3D9D">
          <w:rPr>
            <w:rFonts w:eastAsia="Times New Roman"/>
            <w:lang w:eastAsia="zh-CN"/>
          </w:rPr>
          <w:t xml:space="preserve">DL </w:t>
        </w:r>
      </w:ins>
      <w:r w:rsidRPr="004C50B9">
        <w:rPr>
          <w:rFonts w:eastAsia="Times New Roman"/>
          <w:lang w:eastAsia="zh-CN"/>
        </w:rPr>
        <w:t xml:space="preserve">Protocol Description (see clause 5.37.5 of TS 23.501 [2] and TS 26.522 [40]) and/or local configuration, the PCF generates the Data Burst End Marking Indication (see clause 5.37.8.3 of TS 23.501 [2]) and provide it and the </w:t>
      </w:r>
      <w:ins w:id="18" w:author="Ericsson" w:date="2024-01-11T15:48:00Z">
        <w:r w:rsidR="00CF6FFE">
          <w:rPr>
            <w:rFonts w:eastAsia="Times New Roman"/>
            <w:lang w:eastAsia="zh-CN"/>
          </w:rPr>
          <w:t xml:space="preserve">DL </w:t>
        </w:r>
      </w:ins>
      <w:r w:rsidRPr="004C50B9">
        <w:rPr>
          <w:rFonts w:eastAsia="Times New Roman"/>
          <w:lang w:eastAsia="zh-CN"/>
        </w:rPr>
        <w:t>Protocol Description in the PCC rule to the SMF.</w:t>
      </w:r>
    </w:p>
    <w:p w14:paraId="043CE0AB" w14:textId="77777777" w:rsidR="004934CC" w:rsidRDefault="004934CC" w:rsidP="007D0249"/>
    <w:p w14:paraId="669EE5FE" w14:textId="4BCB5EC8" w:rsidR="00B63D8A" w:rsidRPr="00B63D8A" w:rsidRDefault="00B63D8A" w:rsidP="00B63D8A">
      <w:pPr>
        <w:pStyle w:val="10"/>
        <w:rPr>
          <w:b w:val="0"/>
          <w:bCs w:val="0"/>
          <w:color w:val="FF0000"/>
        </w:rPr>
      </w:pPr>
      <w:r w:rsidRPr="00B63D8A">
        <w:rPr>
          <w:b w:val="0"/>
          <w:bCs w:val="0"/>
          <w:color w:val="FF0000"/>
        </w:rPr>
        <w:t>* * * Next Change * * *</w:t>
      </w:r>
    </w:p>
    <w:p w14:paraId="6ACC3733" w14:textId="77777777" w:rsidR="00B63D8A" w:rsidRDefault="00B63D8A" w:rsidP="007D0249"/>
    <w:p w14:paraId="16DC60F4" w14:textId="77777777" w:rsidR="000D5FB8" w:rsidRPr="000D5FB8" w:rsidRDefault="000D5FB8" w:rsidP="000D5FB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9" w:name="_Toc153803087"/>
      <w:r w:rsidRPr="000D5FB8">
        <w:rPr>
          <w:rFonts w:ascii="Arial" w:eastAsia="Times New Roman" w:hAnsi="Arial"/>
          <w:sz w:val="32"/>
          <w:lang w:eastAsia="en-GB"/>
        </w:rPr>
        <w:t>6.3</w:t>
      </w:r>
      <w:r w:rsidRPr="000D5FB8">
        <w:rPr>
          <w:rFonts w:ascii="Arial" w:eastAsia="Times New Roman" w:hAnsi="Arial"/>
          <w:sz w:val="32"/>
          <w:lang w:eastAsia="en-GB"/>
        </w:rPr>
        <w:tab/>
        <w:t>Policy and charging control rule</w:t>
      </w:r>
      <w:bookmarkEnd w:id="19"/>
    </w:p>
    <w:p w14:paraId="1F80392C" w14:textId="77777777" w:rsidR="000D5FB8" w:rsidRPr="000D5FB8" w:rsidRDefault="000D5FB8" w:rsidP="000D5F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0" w:name="_CR6_3_1"/>
      <w:bookmarkStart w:id="21" w:name="_Toc19197384"/>
      <w:bookmarkStart w:id="22" w:name="_Toc27896537"/>
      <w:bookmarkStart w:id="23" w:name="_Toc36192705"/>
      <w:bookmarkStart w:id="24" w:name="_Toc37076436"/>
      <w:bookmarkStart w:id="25" w:name="_Toc45194886"/>
      <w:bookmarkStart w:id="26" w:name="_Toc47594298"/>
      <w:bookmarkStart w:id="27" w:name="_Toc51836929"/>
      <w:bookmarkStart w:id="28" w:name="_Toc153803088"/>
      <w:bookmarkEnd w:id="20"/>
      <w:r w:rsidRPr="000D5FB8">
        <w:rPr>
          <w:rFonts w:ascii="Arial" w:eastAsia="Times New Roman" w:hAnsi="Arial"/>
          <w:sz w:val="28"/>
          <w:lang w:eastAsia="en-GB"/>
        </w:rPr>
        <w:t>6.3.1</w:t>
      </w:r>
      <w:r w:rsidRPr="000D5FB8">
        <w:rPr>
          <w:rFonts w:ascii="Arial" w:eastAsia="Times New Roman" w:hAnsi="Arial"/>
          <w:sz w:val="28"/>
          <w:lang w:eastAsia="en-GB"/>
        </w:rPr>
        <w:tab/>
        <w:t>General</w:t>
      </w:r>
      <w:bookmarkEnd w:id="21"/>
      <w:bookmarkEnd w:id="22"/>
      <w:bookmarkEnd w:id="23"/>
      <w:bookmarkEnd w:id="24"/>
      <w:bookmarkEnd w:id="25"/>
      <w:bookmarkEnd w:id="26"/>
      <w:bookmarkEnd w:id="27"/>
      <w:bookmarkEnd w:id="28"/>
    </w:p>
    <w:p w14:paraId="151E203C"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FC749B5"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5B636929" w14:textId="77777777" w:rsidR="000D5FB8" w:rsidRPr="000D5FB8" w:rsidRDefault="000D5FB8" w:rsidP="000D5FB8">
      <w:pPr>
        <w:keepLines/>
        <w:overflowPunct w:val="0"/>
        <w:autoSpaceDE w:val="0"/>
        <w:autoSpaceDN w:val="0"/>
        <w:adjustRightInd w:val="0"/>
        <w:ind w:left="1135" w:hanging="851"/>
        <w:textAlignment w:val="baseline"/>
        <w:rPr>
          <w:rFonts w:eastAsia="Times New Roman"/>
          <w:lang w:eastAsia="en-GB"/>
        </w:rPr>
      </w:pPr>
      <w:r w:rsidRPr="000D5FB8">
        <w:rPr>
          <w:rFonts w:eastAsia="Times New Roman"/>
          <w:lang w:eastAsia="en-GB"/>
        </w:rPr>
        <w:t>NOTE 1:</w:t>
      </w:r>
      <w:r w:rsidRPr="000D5FB8">
        <w:rPr>
          <w:rFonts w:eastAsia="Times New Roman"/>
          <w:lang w:eastAsia="en-GB"/>
        </w:rPr>
        <w:tab/>
        <w:t>The procedure for provisioning predefined PCC rules is out of scope for this specification.</w:t>
      </w:r>
    </w:p>
    <w:p w14:paraId="0FC643E2"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The operator defines the PCC rules.</w:t>
      </w:r>
    </w:p>
    <w:p w14:paraId="4426DD7D"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20BDA94"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BCD3542" w14:textId="77777777" w:rsidR="000D5FB8" w:rsidRPr="000D5FB8" w:rsidRDefault="000D5FB8" w:rsidP="000D5FB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9" w:name="_CRTable6_3_1"/>
      <w:r w:rsidRPr="000D5FB8">
        <w:rPr>
          <w:rFonts w:ascii="Arial" w:eastAsia="Times New Roman" w:hAnsi="Arial"/>
          <w:b/>
          <w:lang w:eastAsia="en-GB"/>
        </w:rPr>
        <w:lastRenderedPageBreak/>
        <w:t xml:space="preserve">Table </w:t>
      </w:r>
      <w:bookmarkEnd w:id="29"/>
      <w:r w:rsidRPr="000D5FB8">
        <w:rPr>
          <w:rFonts w:ascii="Arial" w:eastAsia="Times New Roman" w:hAnsi="Arial"/>
          <w:b/>
          <w:lang w:eastAsia="en-GB"/>
        </w:rPr>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D5FB8" w:rsidRPr="000D5FB8" w14:paraId="507F0F6C" w14:textId="77777777" w:rsidTr="009C2830">
        <w:trPr>
          <w:cantSplit/>
          <w:tblHeader/>
        </w:trPr>
        <w:tc>
          <w:tcPr>
            <w:tcW w:w="1980" w:type="dxa"/>
          </w:tcPr>
          <w:p w14:paraId="4A81087B"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Information name</w:t>
            </w:r>
          </w:p>
        </w:tc>
        <w:tc>
          <w:tcPr>
            <w:tcW w:w="2912" w:type="dxa"/>
          </w:tcPr>
          <w:p w14:paraId="532F38EA"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Description</w:t>
            </w:r>
          </w:p>
        </w:tc>
        <w:tc>
          <w:tcPr>
            <w:tcW w:w="1364" w:type="dxa"/>
          </w:tcPr>
          <w:p w14:paraId="55A747DE"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Category</w:t>
            </w:r>
          </w:p>
        </w:tc>
        <w:tc>
          <w:tcPr>
            <w:tcW w:w="1748" w:type="dxa"/>
          </w:tcPr>
          <w:p w14:paraId="0D7CE7D8"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PCF permitted to modify for a dynamic PCC rule in the SMF</w:t>
            </w:r>
          </w:p>
        </w:tc>
        <w:tc>
          <w:tcPr>
            <w:tcW w:w="1627" w:type="dxa"/>
          </w:tcPr>
          <w:p w14:paraId="0BD6F4EE"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Differences compared with table 6.3. in TS 23.203 [4]</w:t>
            </w:r>
          </w:p>
        </w:tc>
      </w:tr>
      <w:tr w:rsidR="000D5FB8" w:rsidRPr="000D5FB8" w14:paraId="54F9FC40" w14:textId="77777777" w:rsidTr="009C2830">
        <w:trPr>
          <w:cantSplit/>
        </w:trPr>
        <w:tc>
          <w:tcPr>
            <w:tcW w:w="1980" w:type="dxa"/>
          </w:tcPr>
          <w:p w14:paraId="357F8E9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Rule identifier</w:t>
            </w:r>
          </w:p>
        </w:tc>
        <w:tc>
          <w:tcPr>
            <w:tcW w:w="2912" w:type="dxa"/>
          </w:tcPr>
          <w:p w14:paraId="798DB6A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Uniquely identifies the PCC rule, within a PDU </w:t>
            </w:r>
            <w:r w:rsidRPr="000D5FB8">
              <w:rPr>
                <w:rFonts w:ascii="Arial" w:eastAsia="Times New Roman" w:hAnsi="Arial"/>
                <w:noProof/>
                <w:sz w:val="18"/>
                <w:szCs w:val="18"/>
                <w:lang w:eastAsia="en-GB"/>
              </w:rPr>
              <w:t>Session</w:t>
            </w:r>
            <w:r w:rsidRPr="000D5FB8">
              <w:rPr>
                <w:rFonts w:ascii="Arial" w:eastAsia="Times New Roman" w:hAnsi="Arial"/>
                <w:sz w:val="18"/>
                <w:szCs w:val="18"/>
                <w:lang w:eastAsia="en-GB"/>
              </w:rPr>
              <w:t>.</w:t>
            </w:r>
          </w:p>
          <w:p w14:paraId="4CA429C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It is used between PCF and SMF for referencing PCC rules.</w:t>
            </w:r>
          </w:p>
        </w:tc>
        <w:tc>
          <w:tcPr>
            <w:tcW w:w="1364" w:type="dxa"/>
          </w:tcPr>
          <w:p w14:paraId="50E3E20E"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Mandatory</w:t>
            </w:r>
          </w:p>
        </w:tc>
        <w:tc>
          <w:tcPr>
            <w:tcW w:w="1748" w:type="dxa"/>
          </w:tcPr>
          <w:p w14:paraId="51640B5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0614547D"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AA503B9" w14:textId="77777777" w:rsidTr="009C2830">
        <w:trPr>
          <w:cantSplit/>
        </w:trPr>
        <w:tc>
          <w:tcPr>
            <w:tcW w:w="1980" w:type="dxa"/>
          </w:tcPr>
          <w:p w14:paraId="154F0FF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Service data flow detection</w:t>
            </w:r>
          </w:p>
        </w:tc>
        <w:tc>
          <w:tcPr>
            <w:tcW w:w="2912" w:type="dxa"/>
          </w:tcPr>
          <w:p w14:paraId="15248C7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defines the method for detecting packets belonging to a service data flow.</w:t>
            </w:r>
          </w:p>
        </w:tc>
        <w:tc>
          <w:tcPr>
            <w:tcW w:w="1364" w:type="dxa"/>
          </w:tcPr>
          <w:p w14:paraId="362C7B6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386182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A59307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EF5B8A1" w14:textId="77777777" w:rsidTr="009C2830">
        <w:trPr>
          <w:cantSplit/>
        </w:trPr>
        <w:tc>
          <w:tcPr>
            <w:tcW w:w="1980" w:type="dxa"/>
          </w:tcPr>
          <w:p w14:paraId="678C966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Precedence</w:t>
            </w:r>
          </w:p>
        </w:tc>
        <w:tc>
          <w:tcPr>
            <w:tcW w:w="2912" w:type="dxa"/>
          </w:tcPr>
          <w:p w14:paraId="177341E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Determines the order, in which the service data flow templates are applied at service data flow detection, enforcement and charging. (NOTE 1).</w:t>
            </w:r>
          </w:p>
        </w:tc>
        <w:tc>
          <w:tcPr>
            <w:tcW w:w="1364" w:type="dxa"/>
          </w:tcPr>
          <w:p w14:paraId="3BB48CF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w:t>
            </w:r>
          </w:p>
        </w:tc>
        <w:tc>
          <w:tcPr>
            <w:tcW w:w="1748" w:type="dxa"/>
          </w:tcPr>
          <w:p w14:paraId="188FD8B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1798BD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4F9B35E" w14:textId="77777777" w:rsidTr="009C2830">
        <w:trPr>
          <w:cantSplit/>
        </w:trPr>
        <w:tc>
          <w:tcPr>
            <w:tcW w:w="1980" w:type="dxa"/>
          </w:tcPr>
          <w:p w14:paraId="03B8BAF4"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data flow template</w:t>
            </w:r>
          </w:p>
        </w:tc>
        <w:tc>
          <w:tcPr>
            <w:tcW w:w="2912" w:type="dxa"/>
          </w:tcPr>
          <w:p w14:paraId="60E8DA8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For IP PDU traffic: Either a list of service data flow filters or an application identifier that references the corresponding application detection filter for the detection of the service data flow.</w:t>
            </w:r>
          </w:p>
          <w:p w14:paraId="6014A6F0"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For Ethernet PDU traffic: Combination of traffic patterns of the Ethernet PDU traffic.</w:t>
            </w:r>
          </w:p>
          <w:p w14:paraId="135537F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It is defined in clause 5.7.6.3 of TS 23.501 [2].</w:t>
            </w:r>
          </w:p>
        </w:tc>
        <w:tc>
          <w:tcPr>
            <w:tcW w:w="1364" w:type="dxa"/>
          </w:tcPr>
          <w:p w14:paraId="4751562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Mandatory (NOTE 3)</w:t>
            </w:r>
          </w:p>
        </w:tc>
        <w:tc>
          <w:tcPr>
            <w:tcW w:w="1748" w:type="dxa"/>
          </w:tcPr>
          <w:p w14:paraId="1662D1F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681DA242"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4)</w:t>
            </w:r>
          </w:p>
        </w:tc>
        <w:tc>
          <w:tcPr>
            <w:tcW w:w="1627" w:type="dxa"/>
          </w:tcPr>
          <w:p w14:paraId="53E69A4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Modified</w:t>
            </w:r>
          </w:p>
          <w:p w14:paraId="50B9DA54"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(packet filters for Ethernet PDU traffic added)</w:t>
            </w:r>
          </w:p>
        </w:tc>
      </w:tr>
      <w:tr w:rsidR="000D5FB8" w:rsidRPr="000D5FB8" w14:paraId="7CD0F5EF" w14:textId="77777777" w:rsidTr="009C2830">
        <w:trPr>
          <w:cantSplit/>
        </w:trPr>
        <w:tc>
          <w:tcPr>
            <w:tcW w:w="1980" w:type="dxa"/>
          </w:tcPr>
          <w:p w14:paraId="7A62D15F"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Mute for notification</w:t>
            </w:r>
          </w:p>
        </w:tc>
        <w:tc>
          <w:tcPr>
            <w:tcW w:w="2912" w:type="dxa"/>
          </w:tcPr>
          <w:p w14:paraId="3C071A8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Defines whether application's start or stop notification is to be muted.</w:t>
            </w:r>
          </w:p>
        </w:tc>
        <w:tc>
          <w:tcPr>
            <w:tcW w:w="1364" w:type="dxa"/>
          </w:tcPr>
          <w:p w14:paraId="77909D6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5)</w:t>
            </w:r>
          </w:p>
        </w:tc>
        <w:tc>
          <w:tcPr>
            <w:tcW w:w="1748" w:type="dxa"/>
          </w:tcPr>
          <w:p w14:paraId="01F370C2"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73396B2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3318841" w14:textId="77777777" w:rsidTr="009C2830">
        <w:trPr>
          <w:cantSplit/>
        </w:trPr>
        <w:tc>
          <w:tcPr>
            <w:tcW w:w="1980" w:type="dxa"/>
          </w:tcPr>
          <w:p w14:paraId="7777D44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Charging</w:t>
            </w:r>
          </w:p>
        </w:tc>
        <w:tc>
          <w:tcPr>
            <w:tcW w:w="2912" w:type="dxa"/>
          </w:tcPr>
          <w:p w14:paraId="4B1764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defines identities and instructions for charging and accounting that is required for an access point where flow based charging is configured</w:t>
            </w:r>
          </w:p>
        </w:tc>
        <w:tc>
          <w:tcPr>
            <w:tcW w:w="1364" w:type="dxa"/>
          </w:tcPr>
          <w:p w14:paraId="5B73E80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997D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3738E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F93B351" w14:textId="77777777" w:rsidTr="009C2830">
        <w:trPr>
          <w:cantSplit/>
        </w:trPr>
        <w:tc>
          <w:tcPr>
            <w:tcW w:w="1980" w:type="dxa"/>
          </w:tcPr>
          <w:p w14:paraId="1E44D9D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Charging key</w:t>
            </w:r>
          </w:p>
          <w:p w14:paraId="5265D7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22)</w:t>
            </w:r>
          </w:p>
        </w:tc>
        <w:tc>
          <w:tcPr>
            <w:tcW w:w="2912" w:type="dxa"/>
          </w:tcPr>
          <w:p w14:paraId="281234D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charging system (CHF) uses the charging key to determine the tariff to apply to the service data flow.</w:t>
            </w:r>
          </w:p>
        </w:tc>
        <w:tc>
          <w:tcPr>
            <w:tcW w:w="1364" w:type="dxa"/>
          </w:tcPr>
          <w:p w14:paraId="5D820B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0FB319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FAA9E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FB0632C" w14:textId="77777777" w:rsidTr="009C2830">
        <w:trPr>
          <w:cantSplit/>
        </w:trPr>
        <w:tc>
          <w:tcPr>
            <w:tcW w:w="1980" w:type="dxa"/>
          </w:tcPr>
          <w:p w14:paraId="105312C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identifier</w:t>
            </w:r>
          </w:p>
        </w:tc>
        <w:tc>
          <w:tcPr>
            <w:tcW w:w="2912" w:type="dxa"/>
          </w:tcPr>
          <w:p w14:paraId="5E051D5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identity of the service or service component the service data flow in a rule relates to.</w:t>
            </w:r>
          </w:p>
        </w:tc>
        <w:tc>
          <w:tcPr>
            <w:tcW w:w="1364" w:type="dxa"/>
          </w:tcPr>
          <w:p w14:paraId="054438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48A22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E81AC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CC5D06B" w14:textId="77777777" w:rsidTr="009C2830">
        <w:trPr>
          <w:cantSplit/>
        </w:trPr>
        <w:tc>
          <w:tcPr>
            <w:tcW w:w="1980" w:type="dxa"/>
          </w:tcPr>
          <w:p w14:paraId="2CD993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Sponsor Identifier</w:t>
            </w:r>
          </w:p>
        </w:tc>
        <w:tc>
          <w:tcPr>
            <w:tcW w:w="2912" w:type="dxa"/>
          </w:tcPr>
          <w:p w14:paraId="32092E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253CEE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2D9C5E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6)</w:t>
            </w:r>
          </w:p>
        </w:tc>
        <w:tc>
          <w:tcPr>
            <w:tcW w:w="1748" w:type="dxa"/>
          </w:tcPr>
          <w:p w14:paraId="62CEFD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9F1D00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66B40FA" w14:textId="77777777" w:rsidTr="009C2830">
        <w:trPr>
          <w:cantSplit/>
        </w:trPr>
        <w:tc>
          <w:tcPr>
            <w:tcW w:w="1980" w:type="dxa"/>
          </w:tcPr>
          <w:p w14:paraId="1BD95D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Application Service Provider Identifier</w:t>
            </w:r>
          </w:p>
        </w:tc>
        <w:tc>
          <w:tcPr>
            <w:tcW w:w="2912" w:type="dxa"/>
          </w:tcPr>
          <w:p w14:paraId="7CEDA5F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44062A6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3B94F0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6)</w:t>
            </w:r>
          </w:p>
        </w:tc>
        <w:tc>
          <w:tcPr>
            <w:tcW w:w="1748" w:type="dxa"/>
          </w:tcPr>
          <w:p w14:paraId="5BD97F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20A0B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F1FCFC9" w14:textId="77777777" w:rsidTr="009C2830">
        <w:trPr>
          <w:cantSplit/>
        </w:trPr>
        <w:tc>
          <w:tcPr>
            <w:tcW w:w="1980" w:type="dxa"/>
          </w:tcPr>
          <w:p w14:paraId="2BA875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Charging method</w:t>
            </w:r>
          </w:p>
        </w:tc>
        <w:tc>
          <w:tcPr>
            <w:tcW w:w="2912" w:type="dxa"/>
          </w:tcPr>
          <w:p w14:paraId="78A664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required charging method for the PCC rule.</w:t>
            </w:r>
          </w:p>
          <w:p w14:paraId="226682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online or offline or neither.</w:t>
            </w:r>
          </w:p>
        </w:tc>
        <w:tc>
          <w:tcPr>
            <w:tcW w:w="1364" w:type="dxa"/>
          </w:tcPr>
          <w:p w14:paraId="51AC6CC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w:t>
            </w:r>
            <w:r w:rsidRPr="000D5FB8">
              <w:rPr>
                <w:rFonts w:ascii="Arial" w:eastAsia="Times New Roman" w:hAnsi="Arial"/>
                <w:sz w:val="18"/>
                <w:lang w:eastAsia="en-GB"/>
              </w:rPr>
              <w:t> </w:t>
            </w:r>
            <w:r w:rsidRPr="000D5FB8">
              <w:rPr>
                <w:rFonts w:ascii="Arial" w:eastAsia="Times New Roman" w:hAnsi="Arial"/>
                <w:sz w:val="18"/>
                <w:szCs w:val="18"/>
                <w:lang w:eastAsia="en-GB"/>
              </w:rPr>
              <w:t>7)</w:t>
            </w:r>
          </w:p>
          <w:p w14:paraId="5ED55E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A96BF9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444110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7D60271" w14:textId="77777777" w:rsidTr="009C2830">
        <w:trPr>
          <w:cantSplit/>
        </w:trPr>
        <w:tc>
          <w:tcPr>
            <w:tcW w:w="1980" w:type="dxa"/>
          </w:tcPr>
          <w:p w14:paraId="52730F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noProof/>
                <w:sz w:val="18"/>
                <w:lang w:eastAsia="en-GB"/>
              </w:rPr>
              <w:t>Service Data flow handling while requesting credit</w:t>
            </w:r>
          </w:p>
        </w:tc>
        <w:tc>
          <w:tcPr>
            <w:tcW w:w="2912" w:type="dxa"/>
          </w:tcPr>
          <w:p w14:paraId="232AB95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whether the service data flow is allowed to start while the SMF is waiting for the response to the credit request.</w:t>
            </w:r>
          </w:p>
          <w:p w14:paraId="391577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Only applicable for charging method online.</w:t>
            </w:r>
          </w:p>
          <w:p w14:paraId="07A2DA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blocking or non-blocking</w:t>
            </w:r>
          </w:p>
        </w:tc>
        <w:tc>
          <w:tcPr>
            <w:tcW w:w="1364" w:type="dxa"/>
          </w:tcPr>
          <w:p w14:paraId="0DA3773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2097F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2472168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43C4BE8F" w14:textId="77777777" w:rsidTr="009C2830">
        <w:trPr>
          <w:cantSplit/>
        </w:trPr>
        <w:tc>
          <w:tcPr>
            <w:tcW w:w="1980" w:type="dxa"/>
          </w:tcPr>
          <w:p w14:paraId="782890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Measurement method</w:t>
            </w:r>
          </w:p>
        </w:tc>
        <w:tc>
          <w:tcPr>
            <w:tcW w:w="2912" w:type="dxa"/>
          </w:tcPr>
          <w:p w14:paraId="47293FD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whether the service data flow data volume, duration, combined volume/duration or event shall be measured.</w:t>
            </w:r>
          </w:p>
          <w:p w14:paraId="148408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This is applicable to reporting, if the charging method is online or offline.</w:t>
            </w:r>
          </w:p>
          <w:p w14:paraId="28539D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2ACA8A4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289E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C6542E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6CE7C2EA" w14:textId="77777777" w:rsidTr="009C2830">
        <w:trPr>
          <w:cantSplit/>
        </w:trPr>
        <w:tc>
          <w:tcPr>
            <w:tcW w:w="1980" w:type="dxa"/>
          </w:tcPr>
          <w:p w14:paraId="6DCF4C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Application Function Record Information</w:t>
            </w:r>
          </w:p>
        </w:tc>
        <w:tc>
          <w:tcPr>
            <w:tcW w:w="2912" w:type="dxa"/>
          </w:tcPr>
          <w:p w14:paraId="44BA12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correlating the measurement for the Charging key/Service identifier values in this PCC rule with application level reports.</w:t>
            </w:r>
          </w:p>
        </w:tc>
        <w:tc>
          <w:tcPr>
            <w:tcW w:w="1364" w:type="dxa"/>
          </w:tcPr>
          <w:p w14:paraId="315624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0BE4D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2F9E74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D02260C" w14:textId="77777777" w:rsidTr="009C2830">
        <w:trPr>
          <w:cantSplit/>
        </w:trPr>
        <w:tc>
          <w:tcPr>
            <w:tcW w:w="1980" w:type="dxa"/>
          </w:tcPr>
          <w:p w14:paraId="122D6D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Identifier Level Reporting</w:t>
            </w:r>
          </w:p>
        </w:tc>
        <w:tc>
          <w:tcPr>
            <w:tcW w:w="2912" w:type="dxa"/>
          </w:tcPr>
          <w:p w14:paraId="73C49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Indicates that separate usage reports shall be generated </w:t>
            </w:r>
            <w:r w:rsidRPr="000D5FB8">
              <w:rPr>
                <w:rFonts w:ascii="Arial" w:eastAsia="Times New Roman" w:hAnsi="Arial"/>
                <w:sz w:val="18"/>
                <w:szCs w:val="18"/>
                <w:lang w:eastAsia="ko-KR"/>
              </w:rPr>
              <w:t xml:space="preserve">for this Service </w:t>
            </w:r>
            <w:r w:rsidRPr="000D5FB8">
              <w:rPr>
                <w:rFonts w:ascii="Arial" w:eastAsia="Times New Roman" w:hAnsi="Arial"/>
                <w:sz w:val="18"/>
                <w:szCs w:val="18"/>
                <w:lang w:eastAsia="en-GB"/>
              </w:rPr>
              <w:t>Identifier.</w:t>
            </w:r>
          </w:p>
          <w:p w14:paraId="58A523E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mandated or not required</w:t>
            </w:r>
          </w:p>
        </w:tc>
        <w:tc>
          <w:tcPr>
            <w:tcW w:w="1364" w:type="dxa"/>
          </w:tcPr>
          <w:p w14:paraId="525E3C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473C2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BDA9E9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93BD8DF" w14:textId="77777777" w:rsidTr="009C2830">
        <w:trPr>
          <w:cantSplit/>
        </w:trPr>
        <w:tc>
          <w:tcPr>
            <w:tcW w:w="1980" w:type="dxa"/>
          </w:tcPr>
          <w:p w14:paraId="667A80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Policy control</w:t>
            </w:r>
          </w:p>
        </w:tc>
        <w:tc>
          <w:tcPr>
            <w:tcW w:w="2912" w:type="dxa"/>
          </w:tcPr>
          <w:p w14:paraId="04A004F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defines how to apply policy control for the service data flow.</w:t>
            </w:r>
          </w:p>
        </w:tc>
        <w:tc>
          <w:tcPr>
            <w:tcW w:w="1364" w:type="dxa"/>
          </w:tcPr>
          <w:p w14:paraId="09EC45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845B9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5F7A9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092271F" w14:textId="77777777" w:rsidTr="009C2830">
        <w:trPr>
          <w:cantSplit/>
        </w:trPr>
        <w:tc>
          <w:tcPr>
            <w:tcW w:w="1980" w:type="dxa"/>
          </w:tcPr>
          <w:p w14:paraId="07FBEA9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Gate status</w:t>
            </w:r>
          </w:p>
        </w:tc>
        <w:tc>
          <w:tcPr>
            <w:tcW w:w="2912" w:type="dxa"/>
          </w:tcPr>
          <w:p w14:paraId="66623A0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6159F73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6DC1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A2B1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7F36F8C" w14:textId="77777777" w:rsidTr="009C2830">
        <w:trPr>
          <w:cantSplit/>
        </w:trPr>
        <w:tc>
          <w:tcPr>
            <w:tcW w:w="1980" w:type="dxa"/>
          </w:tcPr>
          <w:p w14:paraId="61F3BA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5G QoS Identifier (5QI)</w:t>
            </w:r>
          </w:p>
        </w:tc>
        <w:tc>
          <w:tcPr>
            <w:tcW w:w="2912" w:type="dxa"/>
          </w:tcPr>
          <w:p w14:paraId="5E4CBC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5QI authorized for the service data flow.</w:t>
            </w:r>
          </w:p>
        </w:tc>
        <w:tc>
          <w:tcPr>
            <w:tcW w:w="1364" w:type="dxa"/>
          </w:tcPr>
          <w:p w14:paraId="40E9B7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10)</w:t>
            </w:r>
          </w:p>
          <w:p w14:paraId="61231A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CC907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CF4966" w14:textId="77777777" w:rsidR="000D5FB8" w:rsidRPr="000D5FB8" w:rsidRDefault="000D5FB8" w:rsidP="000D5FB8">
            <w:pPr>
              <w:keepLines/>
              <w:tabs>
                <w:tab w:val="left" w:pos="6062"/>
              </w:tabs>
              <w:overflowPunct w:val="0"/>
              <w:autoSpaceDE w:val="0"/>
              <w:autoSpaceDN w:val="0"/>
              <w:adjustRightInd w:val="0"/>
              <w:spacing w:after="0"/>
              <w:textAlignment w:val="baseline"/>
              <w:rPr>
                <w:rFonts w:eastAsia="Times New Roman"/>
                <w:lang w:eastAsia="en-GB"/>
              </w:rPr>
            </w:pPr>
            <w:r w:rsidRPr="000D5FB8">
              <w:rPr>
                <w:rFonts w:eastAsia="Times New Roman"/>
                <w:lang w:eastAsia="en-GB"/>
              </w:rPr>
              <w:t>Modified</w:t>
            </w:r>
          </w:p>
          <w:p w14:paraId="0F3FA6E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(corresponds to QCI in TS 23.203 [4])</w:t>
            </w:r>
          </w:p>
        </w:tc>
      </w:tr>
      <w:tr w:rsidR="000D5FB8" w:rsidRPr="000D5FB8" w14:paraId="1E42BF72" w14:textId="77777777" w:rsidTr="009C2830">
        <w:trPr>
          <w:cantSplit/>
        </w:trPr>
        <w:tc>
          <w:tcPr>
            <w:tcW w:w="1980" w:type="dxa"/>
          </w:tcPr>
          <w:p w14:paraId="710B10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QoS Notification Control (QNC)</w:t>
            </w:r>
          </w:p>
        </w:tc>
        <w:tc>
          <w:tcPr>
            <w:tcW w:w="2912" w:type="dxa"/>
          </w:tcPr>
          <w:p w14:paraId="507558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40CE9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15)</w:t>
            </w:r>
          </w:p>
          <w:p w14:paraId="500E0A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A625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1F926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4014C1B" w14:textId="77777777" w:rsidTr="009C2830">
        <w:trPr>
          <w:cantSplit/>
        </w:trPr>
        <w:tc>
          <w:tcPr>
            <w:tcW w:w="1980" w:type="dxa"/>
          </w:tcPr>
          <w:p w14:paraId="01B728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Reflective QoS Control </w:t>
            </w:r>
          </w:p>
        </w:tc>
        <w:tc>
          <w:tcPr>
            <w:tcW w:w="2912" w:type="dxa"/>
          </w:tcPr>
          <w:p w14:paraId="6A8EC1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to apply reflective QoS for the SDF.</w:t>
            </w:r>
          </w:p>
        </w:tc>
        <w:tc>
          <w:tcPr>
            <w:tcW w:w="1364" w:type="dxa"/>
          </w:tcPr>
          <w:p w14:paraId="01AF12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5BF4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6B11F0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BE10A1C" w14:textId="77777777" w:rsidTr="009C2830">
        <w:trPr>
          <w:cantSplit/>
        </w:trPr>
        <w:tc>
          <w:tcPr>
            <w:tcW w:w="1980" w:type="dxa"/>
          </w:tcPr>
          <w:p w14:paraId="10D170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UL-maximum bitrate</w:t>
            </w:r>
          </w:p>
        </w:tc>
        <w:tc>
          <w:tcPr>
            <w:tcW w:w="2912" w:type="dxa"/>
          </w:tcPr>
          <w:p w14:paraId="4DD54C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uplink maximum bitrate authorized for the service data flow</w:t>
            </w:r>
          </w:p>
        </w:tc>
        <w:tc>
          <w:tcPr>
            <w:tcW w:w="1364" w:type="dxa"/>
          </w:tcPr>
          <w:p w14:paraId="0AE82D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1CB5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06849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98084B1" w14:textId="77777777" w:rsidTr="009C2830">
        <w:trPr>
          <w:cantSplit/>
        </w:trPr>
        <w:tc>
          <w:tcPr>
            <w:tcW w:w="1980" w:type="dxa"/>
          </w:tcPr>
          <w:p w14:paraId="134DAE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DL-maximum bitrate</w:t>
            </w:r>
          </w:p>
        </w:tc>
        <w:tc>
          <w:tcPr>
            <w:tcW w:w="2912" w:type="dxa"/>
          </w:tcPr>
          <w:p w14:paraId="261C5A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downlink maximum bitrate authorized for the service data flow</w:t>
            </w:r>
          </w:p>
        </w:tc>
        <w:tc>
          <w:tcPr>
            <w:tcW w:w="1364" w:type="dxa"/>
          </w:tcPr>
          <w:p w14:paraId="28CDCE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A6949D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436B8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2FEE44E" w14:textId="77777777" w:rsidTr="009C2830">
        <w:trPr>
          <w:cantSplit/>
        </w:trPr>
        <w:tc>
          <w:tcPr>
            <w:tcW w:w="1980" w:type="dxa"/>
          </w:tcPr>
          <w:p w14:paraId="726F3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UL-guaranteed bitrate</w:t>
            </w:r>
          </w:p>
        </w:tc>
        <w:tc>
          <w:tcPr>
            <w:tcW w:w="2912" w:type="dxa"/>
          </w:tcPr>
          <w:p w14:paraId="2F920D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uplink guaranteed bitrate authorized for the service data flow</w:t>
            </w:r>
          </w:p>
        </w:tc>
        <w:tc>
          <w:tcPr>
            <w:tcW w:w="1364" w:type="dxa"/>
          </w:tcPr>
          <w:p w14:paraId="111FA23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59DC0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EE45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294893C" w14:textId="77777777" w:rsidTr="009C2830">
        <w:trPr>
          <w:cantSplit/>
        </w:trPr>
        <w:tc>
          <w:tcPr>
            <w:tcW w:w="1980" w:type="dxa"/>
          </w:tcPr>
          <w:p w14:paraId="47895A6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DL-guaranteed bitrate</w:t>
            </w:r>
          </w:p>
        </w:tc>
        <w:tc>
          <w:tcPr>
            <w:tcW w:w="2912" w:type="dxa"/>
          </w:tcPr>
          <w:p w14:paraId="7B5EFC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downlink guaranteed bitrate authorized for the service data flow</w:t>
            </w:r>
          </w:p>
        </w:tc>
        <w:tc>
          <w:tcPr>
            <w:tcW w:w="1364" w:type="dxa"/>
          </w:tcPr>
          <w:p w14:paraId="060908A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39E90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5171BD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50D07ACA" w14:textId="77777777" w:rsidTr="009C2830">
        <w:trPr>
          <w:cantSplit/>
        </w:trPr>
        <w:tc>
          <w:tcPr>
            <w:tcW w:w="1980" w:type="dxa"/>
          </w:tcPr>
          <w:p w14:paraId="076193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 sharing indication</w:t>
            </w:r>
          </w:p>
        </w:tc>
        <w:tc>
          <w:tcPr>
            <w:tcW w:w="2912" w:type="dxa"/>
          </w:tcPr>
          <w:p w14:paraId="4555DB5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resource sharing in uplink direction with service data flows having the same value in their PCC rule</w:t>
            </w:r>
          </w:p>
        </w:tc>
        <w:tc>
          <w:tcPr>
            <w:tcW w:w="1364" w:type="dxa"/>
          </w:tcPr>
          <w:p w14:paraId="09CB57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F1D90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511FECE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ED748C3" w14:textId="77777777" w:rsidTr="009C2830">
        <w:trPr>
          <w:cantSplit/>
        </w:trPr>
        <w:tc>
          <w:tcPr>
            <w:tcW w:w="1980" w:type="dxa"/>
          </w:tcPr>
          <w:p w14:paraId="690370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 sharing indication</w:t>
            </w:r>
          </w:p>
        </w:tc>
        <w:tc>
          <w:tcPr>
            <w:tcW w:w="2912" w:type="dxa"/>
          </w:tcPr>
          <w:p w14:paraId="44018A8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resource sharing in downlink direction with service data flows having the same value in their PCC rule</w:t>
            </w:r>
          </w:p>
        </w:tc>
        <w:tc>
          <w:tcPr>
            <w:tcW w:w="1364" w:type="dxa"/>
          </w:tcPr>
          <w:p w14:paraId="0A2CCE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3FF27E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1EAA1A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31DC290" w14:textId="77777777" w:rsidTr="009C2830">
        <w:trPr>
          <w:cantSplit/>
        </w:trPr>
        <w:tc>
          <w:tcPr>
            <w:tcW w:w="1980" w:type="dxa"/>
          </w:tcPr>
          <w:p w14:paraId="240F652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Redirect</w:t>
            </w:r>
          </w:p>
        </w:tc>
        <w:tc>
          <w:tcPr>
            <w:tcW w:w="2912" w:type="dxa"/>
          </w:tcPr>
          <w:p w14:paraId="7DA8CDB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Redirect state of the service data flow (enabled/disabled)</w:t>
            </w:r>
          </w:p>
        </w:tc>
        <w:tc>
          <w:tcPr>
            <w:tcW w:w="1364" w:type="dxa"/>
          </w:tcPr>
          <w:p w14:paraId="4FE85D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8)</w:t>
            </w:r>
          </w:p>
        </w:tc>
        <w:tc>
          <w:tcPr>
            <w:tcW w:w="1748" w:type="dxa"/>
          </w:tcPr>
          <w:p w14:paraId="204DC7E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2FA9B1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2426B5CA" w14:textId="77777777" w:rsidTr="009C2830">
        <w:trPr>
          <w:cantSplit/>
        </w:trPr>
        <w:tc>
          <w:tcPr>
            <w:tcW w:w="1980" w:type="dxa"/>
          </w:tcPr>
          <w:p w14:paraId="67BDE10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Redirect Destination</w:t>
            </w:r>
          </w:p>
        </w:tc>
        <w:tc>
          <w:tcPr>
            <w:tcW w:w="2912" w:type="dxa"/>
          </w:tcPr>
          <w:p w14:paraId="7A6EDE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Controlled Address to which the service data flow is redirected when redirect is enabled</w:t>
            </w:r>
          </w:p>
        </w:tc>
        <w:tc>
          <w:tcPr>
            <w:tcW w:w="1364" w:type="dxa"/>
          </w:tcPr>
          <w:p w14:paraId="0A4C52E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2D1479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9)</w:t>
            </w:r>
          </w:p>
        </w:tc>
        <w:tc>
          <w:tcPr>
            <w:tcW w:w="1748" w:type="dxa"/>
          </w:tcPr>
          <w:p w14:paraId="057C5B3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EC484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5863D8AF" w14:textId="77777777" w:rsidTr="009C2830">
        <w:trPr>
          <w:cantSplit/>
        </w:trPr>
        <w:tc>
          <w:tcPr>
            <w:tcW w:w="1980" w:type="dxa"/>
          </w:tcPr>
          <w:p w14:paraId="7C18C4A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ARP</w:t>
            </w:r>
          </w:p>
        </w:tc>
        <w:tc>
          <w:tcPr>
            <w:tcW w:w="2912" w:type="dxa"/>
          </w:tcPr>
          <w:p w14:paraId="5D3CEB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0535770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10)</w:t>
            </w:r>
          </w:p>
        </w:tc>
        <w:tc>
          <w:tcPr>
            <w:tcW w:w="1748" w:type="dxa"/>
          </w:tcPr>
          <w:p w14:paraId="6F2399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3D188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BA15AF1" w14:textId="77777777" w:rsidTr="009C2830">
        <w:trPr>
          <w:cantSplit/>
        </w:trPr>
        <w:tc>
          <w:tcPr>
            <w:tcW w:w="1980" w:type="dxa"/>
          </w:tcPr>
          <w:p w14:paraId="097C93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Bind to QoS Flow associated with the default QoS rule</w:t>
            </w:r>
          </w:p>
        </w:tc>
        <w:tc>
          <w:tcPr>
            <w:tcW w:w="2912" w:type="dxa"/>
          </w:tcPr>
          <w:p w14:paraId="0B36851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 xml:space="preserve">Indicates that the dynamic PCC rule shall always have its binding with the QoS Flow associated with the default QoS rule </w:t>
            </w:r>
            <w:r w:rsidRPr="000D5FB8">
              <w:rPr>
                <w:rFonts w:ascii="Arial" w:eastAsia="Times New Roman" w:hAnsi="Arial"/>
                <w:sz w:val="18"/>
                <w:szCs w:val="18"/>
                <w:lang w:eastAsia="en-GB"/>
              </w:rPr>
              <w:t>(NOTE 11)</w:t>
            </w:r>
            <w:r w:rsidRPr="000D5FB8">
              <w:rPr>
                <w:rFonts w:ascii="Arial" w:eastAsia="Times New Roman" w:hAnsi="Arial"/>
                <w:sz w:val="18"/>
                <w:lang w:eastAsia="en-GB"/>
              </w:rPr>
              <w:t>.</w:t>
            </w:r>
          </w:p>
        </w:tc>
        <w:tc>
          <w:tcPr>
            <w:tcW w:w="1364" w:type="dxa"/>
          </w:tcPr>
          <w:p w14:paraId="459C5B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62EAC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FD579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Modified (corresponds to bind to the default bearer in TS 23.203 [4]) </w:t>
            </w:r>
          </w:p>
        </w:tc>
      </w:tr>
      <w:tr w:rsidR="000D5FB8" w:rsidRPr="000D5FB8" w14:paraId="3F10EBEF" w14:textId="77777777" w:rsidTr="009C2830">
        <w:trPr>
          <w:cantSplit/>
        </w:trPr>
        <w:tc>
          <w:tcPr>
            <w:tcW w:w="1980" w:type="dxa"/>
          </w:tcPr>
          <w:p w14:paraId="182A96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Bind to QoS Flow associated with the default QoS rule and apply PCC rule parameters</w:t>
            </w:r>
          </w:p>
        </w:tc>
        <w:tc>
          <w:tcPr>
            <w:tcW w:w="2912" w:type="dxa"/>
          </w:tcPr>
          <w:p w14:paraId="34D9F3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that the dynamic PCC rule shall always have its binding with the QoS Flow associated with the default QoS rule.</w:t>
            </w:r>
          </w:p>
          <w:p w14:paraId="2867BA0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E5967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17)</w:t>
            </w:r>
          </w:p>
        </w:tc>
        <w:tc>
          <w:tcPr>
            <w:tcW w:w="1748" w:type="dxa"/>
          </w:tcPr>
          <w:p w14:paraId="36DAFCF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A2817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BAFA823" w14:textId="77777777" w:rsidTr="009C2830">
        <w:trPr>
          <w:cantSplit/>
        </w:trPr>
        <w:tc>
          <w:tcPr>
            <w:tcW w:w="1980" w:type="dxa"/>
          </w:tcPr>
          <w:p w14:paraId="0738091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szCs w:val="18"/>
                <w:lang w:eastAsia="en-GB"/>
              </w:rPr>
              <w:t>PS to CS session continuity</w:t>
            </w:r>
          </w:p>
        </w:tc>
        <w:tc>
          <w:tcPr>
            <w:tcW w:w="2912" w:type="dxa"/>
          </w:tcPr>
          <w:p w14:paraId="0BC091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Indicates whether the service data flow is a candidate for </w:t>
            </w:r>
            <w:proofErr w:type="spellStart"/>
            <w:r w:rsidRPr="000D5FB8">
              <w:rPr>
                <w:rFonts w:ascii="Arial" w:eastAsia="Times New Roman" w:hAnsi="Arial"/>
                <w:sz w:val="18"/>
                <w:lang w:eastAsia="en-GB"/>
              </w:rPr>
              <w:t>vSRVCC</w:t>
            </w:r>
            <w:proofErr w:type="spellEnd"/>
            <w:r w:rsidRPr="000D5FB8">
              <w:rPr>
                <w:rFonts w:ascii="Arial" w:eastAsia="Times New Roman" w:hAnsi="Arial"/>
                <w:sz w:val="18"/>
                <w:lang w:eastAsia="en-GB"/>
              </w:rPr>
              <w:t>.</w:t>
            </w:r>
          </w:p>
        </w:tc>
        <w:tc>
          <w:tcPr>
            <w:tcW w:w="1364" w:type="dxa"/>
          </w:tcPr>
          <w:p w14:paraId="759956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68DBA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630DD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Removed</w:t>
            </w:r>
          </w:p>
        </w:tc>
      </w:tr>
      <w:tr w:rsidR="000D5FB8" w:rsidRPr="000D5FB8" w14:paraId="2E41F625" w14:textId="77777777" w:rsidTr="009C2830">
        <w:trPr>
          <w:cantSplit/>
        </w:trPr>
        <w:tc>
          <w:tcPr>
            <w:tcW w:w="1980" w:type="dxa"/>
          </w:tcPr>
          <w:p w14:paraId="0CD218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szCs w:val="18"/>
                <w:lang w:eastAsia="zh-CN"/>
              </w:rPr>
              <w:t>Priority Level</w:t>
            </w:r>
          </w:p>
        </w:tc>
        <w:tc>
          <w:tcPr>
            <w:tcW w:w="2912" w:type="dxa"/>
          </w:tcPr>
          <w:p w14:paraId="730706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 xml:space="preserve">Indicates a priority in scheduling resources among QoS Flows </w:t>
            </w:r>
            <w:r w:rsidRPr="000D5FB8">
              <w:rPr>
                <w:rFonts w:ascii="Arial" w:eastAsia="Times New Roman" w:hAnsi="Arial"/>
                <w:sz w:val="18"/>
                <w:szCs w:val="18"/>
                <w:lang w:eastAsia="en-GB"/>
              </w:rPr>
              <w:t>(NOTE 14)</w:t>
            </w:r>
            <w:r w:rsidRPr="000D5FB8">
              <w:rPr>
                <w:rFonts w:ascii="Arial" w:eastAsia="Times New Roman" w:hAnsi="Arial"/>
                <w:sz w:val="18"/>
                <w:lang w:eastAsia="en-GB"/>
              </w:rPr>
              <w:t>.</w:t>
            </w:r>
          </w:p>
        </w:tc>
        <w:tc>
          <w:tcPr>
            <w:tcW w:w="1364" w:type="dxa"/>
          </w:tcPr>
          <w:p w14:paraId="6FA319F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F2798F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0D23B77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76A598F6" w14:textId="77777777" w:rsidTr="009C2830">
        <w:trPr>
          <w:cantSplit/>
        </w:trPr>
        <w:tc>
          <w:tcPr>
            <w:tcW w:w="1980" w:type="dxa"/>
          </w:tcPr>
          <w:p w14:paraId="338CBF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szCs w:val="18"/>
                <w:lang w:eastAsia="zh-CN"/>
              </w:rPr>
              <w:t xml:space="preserve">Averaging Window </w:t>
            </w:r>
          </w:p>
        </w:tc>
        <w:tc>
          <w:tcPr>
            <w:tcW w:w="2912" w:type="dxa"/>
          </w:tcPr>
          <w:p w14:paraId="39A838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lang w:eastAsia="zh-CN"/>
              </w:rPr>
              <w:t>Represents the duration over which the guaranteed and maximum bitrate shall be calculated</w:t>
            </w:r>
            <w:r w:rsidRPr="000D5FB8">
              <w:rPr>
                <w:rFonts w:ascii="Arial" w:eastAsia="Times New Roman" w:hAnsi="Arial"/>
                <w:sz w:val="18"/>
                <w:lang w:eastAsia="en-GB"/>
              </w:rPr>
              <w:t xml:space="preserve"> </w:t>
            </w:r>
            <w:r w:rsidRPr="000D5FB8">
              <w:rPr>
                <w:rFonts w:ascii="Arial" w:eastAsia="Times New Roman" w:hAnsi="Arial"/>
                <w:sz w:val="18"/>
                <w:szCs w:val="18"/>
                <w:lang w:eastAsia="en-GB"/>
              </w:rPr>
              <w:t>(NOTE 14)</w:t>
            </w:r>
            <w:r w:rsidRPr="000D5FB8">
              <w:rPr>
                <w:rFonts w:ascii="Arial" w:eastAsia="SimSun" w:hAnsi="Arial"/>
                <w:sz w:val="18"/>
                <w:lang w:eastAsia="zh-CN"/>
              </w:rPr>
              <w:t xml:space="preserve">. </w:t>
            </w:r>
          </w:p>
        </w:tc>
        <w:tc>
          <w:tcPr>
            <w:tcW w:w="1364" w:type="dxa"/>
          </w:tcPr>
          <w:p w14:paraId="059701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D1EE2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74EB018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67FD9F88" w14:textId="77777777" w:rsidTr="009C2830">
        <w:trPr>
          <w:cantSplit/>
        </w:trPr>
        <w:tc>
          <w:tcPr>
            <w:tcW w:w="1980" w:type="dxa"/>
          </w:tcPr>
          <w:p w14:paraId="49EA132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szCs w:val="18"/>
                <w:lang w:eastAsia="zh-CN"/>
              </w:rPr>
              <w:t>Maximum Data Burst Volume (MDBV)</w:t>
            </w:r>
          </w:p>
        </w:tc>
        <w:tc>
          <w:tcPr>
            <w:tcW w:w="2912" w:type="dxa"/>
          </w:tcPr>
          <w:p w14:paraId="33EE57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lang w:eastAsia="zh-CN"/>
              </w:rPr>
              <w:t>Denotes the largest amount of data that is required to be transferred within a period of 5G-AN PDB</w:t>
            </w:r>
            <w:r w:rsidRPr="000D5FB8">
              <w:rPr>
                <w:rFonts w:ascii="Arial" w:eastAsia="Times New Roman" w:hAnsi="Arial"/>
                <w:sz w:val="18"/>
                <w:lang w:eastAsia="en-GB"/>
              </w:rPr>
              <w:t xml:space="preserve"> </w:t>
            </w:r>
            <w:r w:rsidRPr="000D5FB8">
              <w:rPr>
                <w:rFonts w:ascii="Arial" w:eastAsia="Times New Roman" w:hAnsi="Arial"/>
                <w:sz w:val="18"/>
                <w:szCs w:val="18"/>
                <w:lang w:eastAsia="en-GB"/>
              </w:rPr>
              <w:t>(NOTE 14)</w:t>
            </w:r>
            <w:r w:rsidRPr="000D5FB8">
              <w:rPr>
                <w:rFonts w:ascii="Arial" w:eastAsia="SimSun" w:hAnsi="Arial"/>
                <w:sz w:val="18"/>
                <w:lang w:eastAsia="zh-CN"/>
              </w:rPr>
              <w:t xml:space="preserve">. </w:t>
            </w:r>
          </w:p>
        </w:tc>
        <w:tc>
          <w:tcPr>
            <w:tcW w:w="1364" w:type="dxa"/>
          </w:tcPr>
          <w:p w14:paraId="59AFE9E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CAC1A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018F0D4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0EB59FEE" w14:textId="77777777" w:rsidTr="009C2830">
        <w:trPr>
          <w:cantSplit/>
        </w:trPr>
        <w:tc>
          <w:tcPr>
            <w:tcW w:w="1980" w:type="dxa"/>
          </w:tcPr>
          <w:p w14:paraId="07DE017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Disable UE notifications at changes related to Alternative QoS Profiles</w:t>
            </w:r>
          </w:p>
        </w:tc>
        <w:tc>
          <w:tcPr>
            <w:tcW w:w="2912" w:type="dxa"/>
          </w:tcPr>
          <w:p w14:paraId="6AEB2E7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B6244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63F82CE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25)</w:t>
            </w:r>
          </w:p>
        </w:tc>
        <w:tc>
          <w:tcPr>
            <w:tcW w:w="1748" w:type="dxa"/>
          </w:tcPr>
          <w:p w14:paraId="42DF34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07FCF7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58818AF1" w14:textId="77777777" w:rsidTr="009C2830">
        <w:trPr>
          <w:cantSplit/>
        </w:trPr>
        <w:tc>
          <w:tcPr>
            <w:tcW w:w="1980" w:type="dxa"/>
          </w:tcPr>
          <w:p w14:paraId="68C5344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Precedence for TFT packet filter allocation</w:t>
            </w:r>
          </w:p>
        </w:tc>
        <w:tc>
          <w:tcPr>
            <w:tcW w:w="2912" w:type="dxa"/>
          </w:tcPr>
          <w:p w14:paraId="707307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Determines the order of TFT packet filter allocation for PCC rules</w:t>
            </w:r>
          </w:p>
        </w:tc>
        <w:tc>
          <w:tcPr>
            <w:tcW w:w="1364" w:type="dxa"/>
          </w:tcPr>
          <w:p w14:paraId="07F351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28)</w:t>
            </w:r>
          </w:p>
        </w:tc>
        <w:tc>
          <w:tcPr>
            <w:tcW w:w="1748" w:type="dxa"/>
          </w:tcPr>
          <w:p w14:paraId="1C7B34A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3DA0AF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2AC86CB8" w14:textId="77777777" w:rsidTr="009C2830">
        <w:trPr>
          <w:cantSplit/>
        </w:trPr>
        <w:tc>
          <w:tcPr>
            <w:tcW w:w="1980" w:type="dxa"/>
          </w:tcPr>
          <w:p w14:paraId="7CBC37B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ECN marking for L4S</w:t>
            </w:r>
          </w:p>
          <w:p w14:paraId="5BB30E9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32)</w:t>
            </w:r>
          </w:p>
        </w:tc>
        <w:tc>
          <w:tcPr>
            <w:tcW w:w="2912" w:type="dxa"/>
          </w:tcPr>
          <w:p w14:paraId="7F44D6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0ED99C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tc>
        <w:tc>
          <w:tcPr>
            <w:tcW w:w="1748" w:type="dxa"/>
          </w:tcPr>
          <w:p w14:paraId="4D5767D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2D36CFA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396AB81F" w14:textId="77777777" w:rsidTr="009C2830">
        <w:trPr>
          <w:cantSplit/>
        </w:trPr>
        <w:tc>
          <w:tcPr>
            <w:tcW w:w="1980" w:type="dxa"/>
          </w:tcPr>
          <w:p w14:paraId="65FF93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Access Network Information Reporting</w:t>
            </w:r>
          </w:p>
        </w:tc>
        <w:tc>
          <w:tcPr>
            <w:tcW w:w="2912" w:type="dxa"/>
          </w:tcPr>
          <w:p w14:paraId="18D5175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access network information to be reported for the PCC rule when the corresponding QoS Flow is established, modified or terminated.</w:t>
            </w:r>
          </w:p>
        </w:tc>
        <w:tc>
          <w:tcPr>
            <w:tcW w:w="1364" w:type="dxa"/>
          </w:tcPr>
          <w:p w14:paraId="41ECC9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05D67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F00B6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A9CE247" w14:textId="77777777" w:rsidTr="009C2830">
        <w:trPr>
          <w:cantSplit/>
        </w:trPr>
        <w:tc>
          <w:tcPr>
            <w:tcW w:w="1980" w:type="dxa"/>
          </w:tcPr>
          <w:p w14:paraId="4E2646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User Location Report</w:t>
            </w:r>
          </w:p>
        </w:tc>
        <w:tc>
          <w:tcPr>
            <w:tcW w:w="2912" w:type="dxa"/>
          </w:tcPr>
          <w:p w14:paraId="2D618F3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12C010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D54C1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78F96E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18E5FFB" w14:textId="77777777" w:rsidTr="009C2830">
        <w:trPr>
          <w:cantSplit/>
        </w:trPr>
        <w:tc>
          <w:tcPr>
            <w:tcW w:w="1980" w:type="dxa"/>
          </w:tcPr>
          <w:p w14:paraId="3FA186C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UE </w:t>
            </w:r>
            <w:r w:rsidRPr="000D5FB8">
              <w:rPr>
                <w:rFonts w:ascii="Arial" w:eastAsia="Times New Roman" w:hAnsi="Arial"/>
                <w:noProof/>
                <w:sz w:val="18"/>
                <w:szCs w:val="18"/>
                <w:lang w:eastAsia="en-GB"/>
              </w:rPr>
              <w:t>Timezone</w:t>
            </w:r>
            <w:r w:rsidRPr="000D5FB8">
              <w:rPr>
                <w:rFonts w:ascii="Arial" w:eastAsia="Times New Roman" w:hAnsi="Arial"/>
                <w:sz w:val="18"/>
                <w:szCs w:val="18"/>
                <w:lang w:eastAsia="en-GB"/>
              </w:rPr>
              <w:t xml:space="preserve"> Report</w:t>
            </w:r>
          </w:p>
        </w:tc>
        <w:tc>
          <w:tcPr>
            <w:tcW w:w="2912" w:type="dxa"/>
          </w:tcPr>
          <w:p w14:paraId="32BC309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time zone of the UE is to be reported.</w:t>
            </w:r>
          </w:p>
        </w:tc>
        <w:tc>
          <w:tcPr>
            <w:tcW w:w="1364" w:type="dxa"/>
          </w:tcPr>
          <w:p w14:paraId="78A223A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F3F442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925FE0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144477B" w14:textId="77777777" w:rsidTr="009C2830">
        <w:trPr>
          <w:cantSplit/>
        </w:trPr>
        <w:tc>
          <w:tcPr>
            <w:tcW w:w="1980" w:type="dxa"/>
          </w:tcPr>
          <w:p w14:paraId="4E04DE1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Usage Monitoring Control</w:t>
            </w:r>
          </w:p>
        </w:tc>
        <w:tc>
          <w:tcPr>
            <w:tcW w:w="2912" w:type="dxa"/>
          </w:tcPr>
          <w:p w14:paraId="2BC85A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identities required for Usage Monitoring Control.</w:t>
            </w:r>
          </w:p>
        </w:tc>
        <w:tc>
          <w:tcPr>
            <w:tcW w:w="1364" w:type="dxa"/>
          </w:tcPr>
          <w:p w14:paraId="40350B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E13BE4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678543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9DD2A56" w14:textId="77777777" w:rsidTr="009C2830">
        <w:trPr>
          <w:cantSplit/>
        </w:trPr>
        <w:tc>
          <w:tcPr>
            <w:tcW w:w="1980" w:type="dxa"/>
          </w:tcPr>
          <w:p w14:paraId="237710A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Monitoring key</w:t>
            </w:r>
          </w:p>
          <w:p w14:paraId="29C7924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23)</w:t>
            </w:r>
          </w:p>
        </w:tc>
        <w:tc>
          <w:tcPr>
            <w:tcW w:w="2912" w:type="dxa"/>
          </w:tcPr>
          <w:p w14:paraId="684317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PCF uses the monitoring key to group services that share a common allowed usage.</w:t>
            </w:r>
          </w:p>
        </w:tc>
        <w:tc>
          <w:tcPr>
            <w:tcW w:w="1364" w:type="dxa"/>
          </w:tcPr>
          <w:p w14:paraId="70DF65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46311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0D581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2A76D9FE" w14:textId="77777777" w:rsidTr="009C2830">
        <w:trPr>
          <w:cantSplit/>
        </w:trPr>
        <w:tc>
          <w:tcPr>
            <w:tcW w:w="1980" w:type="dxa"/>
          </w:tcPr>
          <w:p w14:paraId="04ADE03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exclusion from session level monitoring</w:t>
            </w:r>
          </w:p>
        </w:tc>
        <w:tc>
          <w:tcPr>
            <w:tcW w:w="2912" w:type="dxa"/>
          </w:tcPr>
          <w:p w14:paraId="1D7F4F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that the service data flow shall be excluded from PDU Session usage monitoring</w:t>
            </w:r>
          </w:p>
        </w:tc>
        <w:tc>
          <w:tcPr>
            <w:tcW w:w="1364" w:type="dxa"/>
          </w:tcPr>
          <w:p w14:paraId="381CEA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8598B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E4865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CA211AB" w14:textId="77777777" w:rsidTr="009C2830">
        <w:trPr>
          <w:cantSplit/>
        </w:trPr>
        <w:tc>
          <w:tcPr>
            <w:tcW w:w="1980" w:type="dxa"/>
          </w:tcPr>
          <w:p w14:paraId="2C95C1A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N6-LAN Traffic Steering Enforcement Control (NOTE 18)</w:t>
            </w:r>
          </w:p>
        </w:tc>
        <w:tc>
          <w:tcPr>
            <w:tcW w:w="2912" w:type="dxa"/>
          </w:tcPr>
          <w:p w14:paraId="083348D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information required for N6-LAN Traffic Steering.</w:t>
            </w:r>
          </w:p>
        </w:tc>
        <w:tc>
          <w:tcPr>
            <w:tcW w:w="1364" w:type="dxa"/>
          </w:tcPr>
          <w:p w14:paraId="327D13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372461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1F69A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C830B91" w14:textId="77777777" w:rsidTr="009C2830">
        <w:trPr>
          <w:cantSplit/>
        </w:trPr>
        <w:tc>
          <w:tcPr>
            <w:tcW w:w="1980" w:type="dxa"/>
          </w:tcPr>
          <w:p w14:paraId="708CC75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Traffic steering policy identifier(s)</w:t>
            </w:r>
          </w:p>
        </w:tc>
        <w:tc>
          <w:tcPr>
            <w:tcW w:w="2912" w:type="dxa"/>
          </w:tcPr>
          <w:p w14:paraId="63C7C5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Reference to a pre-configured traffic steering policy at the SMF</w:t>
            </w:r>
          </w:p>
          <w:p w14:paraId="01E6D2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12).</w:t>
            </w:r>
          </w:p>
        </w:tc>
        <w:tc>
          <w:tcPr>
            <w:tcW w:w="1364" w:type="dxa"/>
          </w:tcPr>
          <w:p w14:paraId="0F2F4FC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13C10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1E154E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9F1E510" w14:textId="77777777" w:rsidTr="009C2830">
        <w:trPr>
          <w:cantSplit/>
        </w:trPr>
        <w:tc>
          <w:tcPr>
            <w:tcW w:w="1980" w:type="dxa"/>
          </w:tcPr>
          <w:p w14:paraId="0A5F97D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Metadata</w:t>
            </w:r>
          </w:p>
        </w:tc>
        <w:tc>
          <w:tcPr>
            <w:tcW w:w="2912" w:type="dxa"/>
          </w:tcPr>
          <w:p w14:paraId="1051D02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Data provided by AF and included by UPF when forwarding traffic to N6-LAN.</w:t>
            </w:r>
          </w:p>
        </w:tc>
        <w:tc>
          <w:tcPr>
            <w:tcW w:w="1364" w:type="dxa"/>
          </w:tcPr>
          <w:p w14:paraId="2DAA497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8D165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42AD31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4945AB7" w14:textId="77777777" w:rsidTr="009C2830">
        <w:trPr>
          <w:cantSplit/>
        </w:trPr>
        <w:tc>
          <w:tcPr>
            <w:tcW w:w="1980" w:type="dxa"/>
          </w:tcPr>
          <w:p w14:paraId="5FED75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Application Function influence on traffic routing Enforcement Control (NOTE 18)</w:t>
            </w:r>
          </w:p>
        </w:tc>
        <w:tc>
          <w:tcPr>
            <w:tcW w:w="2912" w:type="dxa"/>
          </w:tcPr>
          <w:p w14:paraId="33BCA03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information required for Application Function influence on traffic routing.</w:t>
            </w:r>
          </w:p>
        </w:tc>
        <w:tc>
          <w:tcPr>
            <w:tcW w:w="1364" w:type="dxa"/>
          </w:tcPr>
          <w:p w14:paraId="665A5A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3FA3A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B7578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5DC5B358" w14:textId="77777777" w:rsidTr="009C2830">
        <w:trPr>
          <w:cantSplit/>
        </w:trPr>
        <w:tc>
          <w:tcPr>
            <w:tcW w:w="1980" w:type="dxa"/>
          </w:tcPr>
          <w:p w14:paraId="5A6902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Data Network Access Identifier</w:t>
            </w:r>
          </w:p>
        </w:tc>
        <w:tc>
          <w:tcPr>
            <w:tcW w:w="2912" w:type="dxa"/>
          </w:tcPr>
          <w:p w14:paraId="0989824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Identifier(s) of the target Data Network Access (DNAI). It is defined in clause 5.6.7 of TS 23.501 [2].</w:t>
            </w:r>
          </w:p>
        </w:tc>
        <w:tc>
          <w:tcPr>
            <w:tcW w:w="1364" w:type="dxa"/>
          </w:tcPr>
          <w:p w14:paraId="7B5712B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675D0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0BFEBC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8B7A6BA" w14:textId="77777777" w:rsidTr="009C2830">
        <w:trPr>
          <w:cantSplit/>
        </w:trPr>
        <w:tc>
          <w:tcPr>
            <w:tcW w:w="1980" w:type="dxa"/>
          </w:tcPr>
          <w:p w14:paraId="047E2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Per DNAI: Traffic steering policy identifier</w:t>
            </w:r>
          </w:p>
        </w:tc>
        <w:tc>
          <w:tcPr>
            <w:tcW w:w="2912" w:type="dxa"/>
          </w:tcPr>
          <w:p w14:paraId="769F0C9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Reference to a pre-configured traffic steering policy at the SMF</w:t>
            </w:r>
          </w:p>
          <w:p w14:paraId="4EB226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19).</w:t>
            </w:r>
          </w:p>
        </w:tc>
        <w:tc>
          <w:tcPr>
            <w:tcW w:w="1364" w:type="dxa"/>
          </w:tcPr>
          <w:p w14:paraId="23830C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57AA73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D6D648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6834F6E" w14:textId="77777777" w:rsidTr="009C2830">
        <w:trPr>
          <w:cantSplit/>
        </w:trPr>
        <w:tc>
          <w:tcPr>
            <w:tcW w:w="1980" w:type="dxa"/>
          </w:tcPr>
          <w:p w14:paraId="6884133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Per DNAI: N6 traffic routing information</w:t>
            </w:r>
          </w:p>
        </w:tc>
        <w:tc>
          <w:tcPr>
            <w:tcW w:w="2912" w:type="dxa"/>
          </w:tcPr>
          <w:p w14:paraId="2DE344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Describes the information necessary for traffic steering to the DNAI. It is described in clause 5.6.7 of TS 23.501 [2] (NOTE 19).</w:t>
            </w:r>
          </w:p>
        </w:tc>
        <w:tc>
          <w:tcPr>
            <w:tcW w:w="1364" w:type="dxa"/>
          </w:tcPr>
          <w:p w14:paraId="02C33E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72FE8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3FE86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B8BEED0" w14:textId="77777777" w:rsidTr="009C2830">
        <w:trPr>
          <w:cantSplit/>
        </w:trPr>
        <w:tc>
          <w:tcPr>
            <w:tcW w:w="1980" w:type="dxa"/>
          </w:tcPr>
          <w:p w14:paraId="268B223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Information on AF subscription to UP change events</w:t>
            </w:r>
          </w:p>
        </w:tc>
        <w:tc>
          <w:tcPr>
            <w:tcW w:w="2912" w:type="dxa"/>
          </w:tcPr>
          <w:p w14:paraId="42ABE67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57B4C7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D5698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E16CB8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A7818D8" w14:textId="77777777" w:rsidTr="009C2830">
        <w:trPr>
          <w:cantSplit/>
        </w:trPr>
        <w:tc>
          <w:tcPr>
            <w:tcW w:w="1980" w:type="dxa"/>
          </w:tcPr>
          <w:p w14:paraId="62556E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UE IP address preservation</w:t>
            </w:r>
          </w:p>
        </w:tc>
        <w:tc>
          <w:tcPr>
            <w:tcW w:w="2912" w:type="dxa"/>
          </w:tcPr>
          <w:p w14:paraId="027AA6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UE IP address should be preserved. It is defined in clause 5.6.7 of TS 23.501 [2].</w:t>
            </w:r>
          </w:p>
        </w:tc>
        <w:tc>
          <w:tcPr>
            <w:tcW w:w="1364" w:type="dxa"/>
          </w:tcPr>
          <w:p w14:paraId="3650ECA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993E9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730AF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07F4B8B" w14:textId="77777777" w:rsidTr="009C2830">
        <w:trPr>
          <w:cantSplit/>
        </w:trPr>
        <w:tc>
          <w:tcPr>
            <w:tcW w:w="1980" w:type="dxa"/>
          </w:tcPr>
          <w:p w14:paraId="7C5DE70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traffic correlation</w:t>
            </w:r>
          </w:p>
          <w:p w14:paraId="397468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29)</w:t>
            </w:r>
          </w:p>
        </w:tc>
        <w:tc>
          <w:tcPr>
            <w:tcW w:w="2912" w:type="dxa"/>
          </w:tcPr>
          <w:p w14:paraId="41D643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that the target PDU Sessions should be correlated via a common DNAI in the user plane. It is described in clause 5.6.7 of TS 23.501 [2].</w:t>
            </w:r>
          </w:p>
        </w:tc>
        <w:tc>
          <w:tcPr>
            <w:tcW w:w="1364" w:type="dxa"/>
          </w:tcPr>
          <w:p w14:paraId="53EC8B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B9CA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68FAA2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3CBA908" w14:textId="77777777" w:rsidTr="009C2830">
        <w:trPr>
          <w:cantSplit/>
        </w:trPr>
        <w:tc>
          <w:tcPr>
            <w:tcW w:w="1980" w:type="dxa"/>
          </w:tcPr>
          <w:p w14:paraId="0E8208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Information on User Plane Latency requirements</w:t>
            </w:r>
          </w:p>
        </w:tc>
        <w:tc>
          <w:tcPr>
            <w:tcW w:w="2912" w:type="dxa"/>
          </w:tcPr>
          <w:p w14:paraId="2D82BF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user plane latency requirements. It is defined in clause 6.3.6 of TS 23.548 [33].</w:t>
            </w:r>
          </w:p>
        </w:tc>
        <w:tc>
          <w:tcPr>
            <w:tcW w:w="1364" w:type="dxa"/>
          </w:tcPr>
          <w:p w14:paraId="0BF8E22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08871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032B1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AF32E95" w14:textId="77777777" w:rsidTr="009C2830">
        <w:trPr>
          <w:cantSplit/>
        </w:trPr>
        <w:tc>
          <w:tcPr>
            <w:tcW w:w="1980" w:type="dxa"/>
          </w:tcPr>
          <w:p w14:paraId="17208D2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for Simultaneous Connectivity at Edge Relocation</w:t>
            </w:r>
          </w:p>
        </w:tc>
        <w:tc>
          <w:tcPr>
            <w:tcW w:w="2912" w:type="dxa"/>
          </w:tcPr>
          <w:p w14:paraId="56D48E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request for simultaneous connectivity over source and target PSA from the AF (see clause 5.6.7 of TS 23.501 [2]).</w:t>
            </w:r>
          </w:p>
        </w:tc>
        <w:tc>
          <w:tcPr>
            <w:tcW w:w="1364" w:type="dxa"/>
          </w:tcPr>
          <w:p w14:paraId="337442D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E3456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8E8ED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4B51A72" w14:textId="77777777" w:rsidTr="009C2830">
        <w:trPr>
          <w:cantSplit/>
        </w:trPr>
        <w:tc>
          <w:tcPr>
            <w:tcW w:w="1980" w:type="dxa"/>
          </w:tcPr>
          <w:p w14:paraId="0E4F0C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Information for EAS IP Replacement in 5GC</w:t>
            </w:r>
          </w:p>
        </w:tc>
        <w:tc>
          <w:tcPr>
            <w:tcW w:w="2912" w:type="dxa"/>
          </w:tcPr>
          <w:p w14:paraId="099CAD0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Source EAS identifier and Target EAS identifier, (i.e. IP addresses and port numbers of the source and target EAS). (see clause 5.6.7 of TS 23.501 [2]).</w:t>
            </w:r>
          </w:p>
        </w:tc>
        <w:tc>
          <w:tcPr>
            <w:tcW w:w="1364" w:type="dxa"/>
          </w:tcPr>
          <w:p w14:paraId="5AA5DF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87906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607CFA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A926E65" w14:textId="77777777" w:rsidTr="009C2830">
        <w:trPr>
          <w:cantSplit/>
        </w:trPr>
        <w:tc>
          <w:tcPr>
            <w:tcW w:w="1980" w:type="dxa"/>
          </w:tcPr>
          <w:p w14:paraId="22C461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EAS Correlation indication</w:t>
            </w:r>
          </w:p>
        </w:tc>
        <w:tc>
          <w:tcPr>
            <w:tcW w:w="2912" w:type="dxa"/>
          </w:tcPr>
          <w:p w14:paraId="62E7EB6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selecting a common EAS for the application identified by Service data flow template accessed by the UEs with the same Traffic Correlation ID.</w:t>
            </w:r>
          </w:p>
        </w:tc>
        <w:tc>
          <w:tcPr>
            <w:tcW w:w="1364" w:type="dxa"/>
          </w:tcPr>
          <w:p w14:paraId="763DCB2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BA71B4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4CEBF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D514AE4" w14:textId="77777777" w:rsidTr="009C2830">
        <w:trPr>
          <w:cantSplit/>
        </w:trPr>
        <w:tc>
          <w:tcPr>
            <w:tcW w:w="1980" w:type="dxa"/>
          </w:tcPr>
          <w:p w14:paraId="3EA202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Traffic Correlation ID</w:t>
            </w:r>
          </w:p>
        </w:tc>
        <w:tc>
          <w:tcPr>
            <w:tcW w:w="2912" w:type="dxa"/>
          </w:tcPr>
          <w:p w14:paraId="684941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Identification of a set of UEs accessing the application identified by the Service data flow template (see clause 5.6.7 of TS 23.501 [2]).</w:t>
            </w:r>
          </w:p>
        </w:tc>
        <w:tc>
          <w:tcPr>
            <w:tcW w:w="1364" w:type="dxa"/>
          </w:tcPr>
          <w:p w14:paraId="5D5EE6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CB443A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A9410B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681F2FA" w14:textId="77777777" w:rsidTr="009C2830">
        <w:trPr>
          <w:cantSplit/>
        </w:trPr>
        <w:tc>
          <w:tcPr>
            <w:tcW w:w="1980" w:type="dxa"/>
          </w:tcPr>
          <w:p w14:paraId="22B2D8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EAS IP address</w:t>
            </w:r>
          </w:p>
        </w:tc>
        <w:tc>
          <w:tcPr>
            <w:tcW w:w="2912" w:type="dxa"/>
          </w:tcPr>
          <w:p w14:paraId="422B98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1D7724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EC76E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3F34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94E3392" w14:textId="77777777" w:rsidTr="009C2830">
        <w:trPr>
          <w:cantSplit/>
        </w:trPr>
        <w:tc>
          <w:tcPr>
            <w:tcW w:w="1980" w:type="dxa"/>
          </w:tcPr>
          <w:p w14:paraId="225341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DNAI</w:t>
            </w:r>
          </w:p>
        </w:tc>
        <w:tc>
          <w:tcPr>
            <w:tcW w:w="2912" w:type="dxa"/>
          </w:tcPr>
          <w:p w14:paraId="6F0F4A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DNAI applicable to the set of UEs identified by a traffic correlation ID.</w:t>
            </w:r>
          </w:p>
        </w:tc>
        <w:tc>
          <w:tcPr>
            <w:tcW w:w="1364" w:type="dxa"/>
          </w:tcPr>
          <w:p w14:paraId="38B4AC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63E2C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311D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8398620" w14:textId="77777777" w:rsidTr="009C2830">
        <w:trPr>
          <w:cantSplit/>
        </w:trPr>
        <w:tc>
          <w:tcPr>
            <w:tcW w:w="1980" w:type="dxa"/>
          </w:tcPr>
          <w:p w14:paraId="781D61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FQDN(s)</w:t>
            </w:r>
          </w:p>
        </w:tc>
        <w:tc>
          <w:tcPr>
            <w:tcW w:w="2912" w:type="dxa"/>
          </w:tcPr>
          <w:p w14:paraId="1A2F4F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FQDN(s) for the application indicated in the PCC rule (see clause 5.6.7 of TS 23.501 [2]).</w:t>
            </w:r>
          </w:p>
        </w:tc>
        <w:tc>
          <w:tcPr>
            <w:tcW w:w="1364" w:type="dxa"/>
          </w:tcPr>
          <w:p w14:paraId="241B87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F2D123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2136A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26F2CCE" w14:textId="77777777" w:rsidTr="009C2830">
        <w:trPr>
          <w:cantSplit/>
        </w:trPr>
        <w:tc>
          <w:tcPr>
            <w:tcW w:w="1980" w:type="dxa"/>
          </w:tcPr>
          <w:p w14:paraId="21DB1F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NEF information</w:t>
            </w:r>
          </w:p>
        </w:tc>
        <w:tc>
          <w:tcPr>
            <w:tcW w:w="2912" w:type="dxa"/>
          </w:tcPr>
          <w:p w14:paraId="6E58A76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Notification Endpoint of NEF subscription to be notified with information related to UE members of the set of UEs identified by traffic correlation ID.</w:t>
            </w:r>
          </w:p>
        </w:tc>
        <w:tc>
          <w:tcPr>
            <w:tcW w:w="1364" w:type="dxa"/>
          </w:tcPr>
          <w:p w14:paraId="5A1AB3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D7708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A9508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7980D8A" w14:textId="77777777" w:rsidTr="009C2830">
        <w:trPr>
          <w:cantSplit/>
        </w:trPr>
        <w:tc>
          <w:tcPr>
            <w:tcW w:w="1980" w:type="dxa"/>
          </w:tcPr>
          <w:p w14:paraId="2E16C43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b/>
                <w:sz w:val="18"/>
                <w:szCs w:val="18"/>
                <w:lang w:eastAsia="en-GB"/>
              </w:rPr>
              <w:t>NBIFOM related control Information</w:t>
            </w:r>
          </w:p>
        </w:tc>
        <w:tc>
          <w:tcPr>
            <w:tcW w:w="2912" w:type="dxa"/>
          </w:tcPr>
          <w:p w14:paraId="3A7127E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i/>
                <w:sz w:val="18"/>
                <w:szCs w:val="18"/>
                <w:lang w:eastAsia="en-GB"/>
              </w:rPr>
              <w:t>This part describes PCC rule information related with NBIFOM.</w:t>
            </w:r>
          </w:p>
        </w:tc>
        <w:tc>
          <w:tcPr>
            <w:tcW w:w="1364" w:type="dxa"/>
          </w:tcPr>
          <w:p w14:paraId="221480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79E98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A5630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4067A3E" w14:textId="77777777" w:rsidTr="009C2830">
        <w:trPr>
          <w:cantSplit/>
        </w:trPr>
        <w:tc>
          <w:tcPr>
            <w:tcW w:w="1980" w:type="dxa"/>
          </w:tcPr>
          <w:p w14:paraId="6F4C22E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Allowed Access Type</w:t>
            </w:r>
          </w:p>
        </w:tc>
        <w:tc>
          <w:tcPr>
            <w:tcW w:w="2912" w:type="dxa"/>
          </w:tcPr>
          <w:p w14:paraId="56E4B5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The access to be used for traffic identified by the PCC rule.</w:t>
            </w:r>
          </w:p>
        </w:tc>
        <w:tc>
          <w:tcPr>
            <w:tcW w:w="1364" w:type="dxa"/>
          </w:tcPr>
          <w:p w14:paraId="1F2687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421470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BAE97E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Removed</w:t>
            </w:r>
          </w:p>
        </w:tc>
      </w:tr>
      <w:tr w:rsidR="000D5FB8" w:rsidRPr="000D5FB8" w14:paraId="0A304E98" w14:textId="77777777" w:rsidTr="009C2830">
        <w:trPr>
          <w:cantSplit/>
        </w:trPr>
        <w:tc>
          <w:tcPr>
            <w:tcW w:w="1980" w:type="dxa"/>
          </w:tcPr>
          <w:p w14:paraId="678C89F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b/>
                <w:sz w:val="18"/>
                <w:szCs w:val="18"/>
                <w:lang w:eastAsia="en-GB"/>
              </w:rPr>
              <w:t>RAN support information</w:t>
            </w:r>
          </w:p>
        </w:tc>
        <w:tc>
          <w:tcPr>
            <w:tcW w:w="2912" w:type="dxa"/>
          </w:tcPr>
          <w:p w14:paraId="1596BD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i/>
                <w:sz w:val="18"/>
                <w:szCs w:val="18"/>
                <w:lang w:eastAsia="en-GB"/>
              </w:rPr>
              <w:t>This part defines</w:t>
            </w:r>
            <w:r w:rsidRPr="000D5FB8">
              <w:rPr>
                <w:rFonts w:ascii="Arial" w:eastAsia="Times New Roman" w:hAnsi="Arial"/>
                <w:i/>
                <w:sz w:val="18"/>
                <w:szCs w:val="18"/>
                <w:lang w:eastAsia="zh-CN"/>
              </w:rPr>
              <w:t xml:space="preserve"> information supporting </w:t>
            </w:r>
            <w:r w:rsidRPr="000D5FB8">
              <w:rPr>
                <w:rFonts w:ascii="Arial" w:eastAsia="Times New Roman" w:hAnsi="Arial"/>
                <w:i/>
                <w:sz w:val="18"/>
                <w:szCs w:val="18"/>
                <w:lang w:eastAsia="en-GB"/>
              </w:rPr>
              <w:t>the RAN for</w:t>
            </w:r>
            <w:r w:rsidRPr="000D5FB8">
              <w:rPr>
                <w:rFonts w:ascii="Arial" w:eastAsia="Times New Roman" w:hAnsi="Arial"/>
                <w:i/>
                <w:sz w:val="18"/>
                <w:szCs w:val="18"/>
                <w:lang w:eastAsia="zh-CN"/>
              </w:rPr>
              <w:t xml:space="preserve"> e.g.</w:t>
            </w:r>
            <w:r w:rsidRPr="000D5FB8">
              <w:rPr>
                <w:rFonts w:ascii="Arial" w:eastAsia="Times New Roman" w:hAnsi="Arial"/>
                <w:i/>
                <w:sz w:val="18"/>
                <w:szCs w:val="18"/>
                <w:lang w:eastAsia="en-GB"/>
              </w:rPr>
              <w:t xml:space="preserve"> handover threshold decision</w:t>
            </w:r>
            <w:r w:rsidRPr="000D5FB8">
              <w:rPr>
                <w:rFonts w:ascii="Arial" w:eastAsia="Times New Roman" w:hAnsi="Arial"/>
                <w:i/>
                <w:sz w:val="18"/>
                <w:szCs w:val="18"/>
                <w:lang w:eastAsia="zh-CN"/>
              </w:rPr>
              <w:t>.</w:t>
            </w:r>
          </w:p>
        </w:tc>
        <w:tc>
          <w:tcPr>
            <w:tcW w:w="1364" w:type="dxa"/>
          </w:tcPr>
          <w:p w14:paraId="52F3843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325488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85CC6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8305F53" w14:textId="77777777" w:rsidTr="009C2830">
        <w:trPr>
          <w:cantSplit/>
        </w:trPr>
        <w:tc>
          <w:tcPr>
            <w:tcW w:w="1980" w:type="dxa"/>
          </w:tcPr>
          <w:p w14:paraId="7A43CFC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UL Maximum Packet Loss Rate</w:t>
            </w:r>
          </w:p>
        </w:tc>
        <w:tc>
          <w:tcPr>
            <w:tcW w:w="2912" w:type="dxa"/>
          </w:tcPr>
          <w:p w14:paraId="16878F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w:t>
            </w:r>
            <w:r w:rsidRPr="000D5FB8">
              <w:rPr>
                <w:rFonts w:ascii="Arial" w:eastAsia="Times New Roman" w:hAnsi="Arial"/>
                <w:sz w:val="18"/>
                <w:lang w:eastAsia="en-GB"/>
              </w:rPr>
              <w:t>he maximum rate for lost packets that can be tolerated in the uplink direction</w:t>
            </w:r>
            <w:r w:rsidRPr="000D5FB8">
              <w:rPr>
                <w:rFonts w:ascii="Arial" w:eastAsia="Times New Roman" w:hAnsi="Arial"/>
                <w:sz w:val="18"/>
                <w:lang w:eastAsia="ja-JP"/>
              </w:rPr>
              <w:t xml:space="preserve"> </w:t>
            </w:r>
            <w:r w:rsidRPr="000D5FB8">
              <w:rPr>
                <w:rFonts w:ascii="Arial" w:eastAsia="Times New Roman" w:hAnsi="Arial"/>
                <w:sz w:val="18"/>
                <w:lang w:eastAsia="en-GB"/>
              </w:rPr>
              <w:t xml:space="preserve">for </w:t>
            </w:r>
            <w:r w:rsidRPr="000D5FB8">
              <w:rPr>
                <w:rFonts w:ascii="Arial" w:eastAsia="Times New Roman" w:hAnsi="Arial"/>
                <w:sz w:val="18"/>
                <w:lang w:eastAsia="ja-JP"/>
              </w:rPr>
              <w:t xml:space="preserve">the </w:t>
            </w:r>
            <w:r w:rsidRPr="000D5FB8">
              <w:rPr>
                <w:rFonts w:ascii="Arial" w:eastAsia="Times New Roman" w:hAnsi="Arial"/>
                <w:sz w:val="18"/>
                <w:lang w:eastAsia="en-GB"/>
              </w:rPr>
              <w:t>service data flow</w:t>
            </w:r>
            <w:r w:rsidRPr="000D5FB8">
              <w:rPr>
                <w:rFonts w:ascii="Arial" w:eastAsia="Times New Roman" w:hAnsi="Arial"/>
                <w:sz w:val="18"/>
                <w:lang w:eastAsia="ja-JP"/>
              </w:rPr>
              <w:t>.</w:t>
            </w:r>
            <w:r w:rsidRPr="000D5FB8">
              <w:rPr>
                <w:rFonts w:ascii="Arial" w:eastAsia="Times New Roman" w:hAnsi="Arial"/>
                <w:sz w:val="18"/>
                <w:szCs w:val="18"/>
                <w:lang w:eastAsia="zh-CN"/>
              </w:rPr>
              <w:t xml:space="preserve"> It is defined in</w:t>
            </w:r>
            <w:r w:rsidRPr="000D5FB8">
              <w:rPr>
                <w:rFonts w:ascii="Arial" w:eastAsia="Times New Roman" w:hAnsi="Arial"/>
                <w:sz w:val="18"/>
                <w:lang w:eastAsia="en-GB"/>
              </w:rPr>
              <w:t xml:space="preserve"> clause 5.7.2.8</w:t>
            </w:r>
            <w:r w:rsidRPr="000D5FB8">
              <w:rPr>
                <w:rFonts w:ascii="Arial" w:eastAsia="Times New Roman" w:hAnsi="Arial"/>
                <w:sz w:val="18"/>
                <w:szCs w:val="18"/>
                <w:lang w:eastAsia="zh-CN"/>
              </w:rPr>
              <w:t xml:space="preserve"> of </w:t>
            </w:r>
            <w:r w:rsidRPr="000D5FB8">
              <w:rPr>
                <w:rFonts w:ascii="Arial" w:eastAsia="Times New Roman" w:hAnsi="Arial"/>
                <w:sz w:val="18"/>
                <w:lang w:eastAsia="en-GB"/>
              </w:rPr>
              <w:t>TS 23.501 [2]</w:t>
            </w:r>
            <w:r w:rsidRPr="000D5FB8">
              <w:rPr>
                <w:rFonts w:ascii="Arial" w:eastAsia="Times New Roman" w:hAnsi="Arial"/>
                <w:sz w:val="18"/>
                <w:lang w:eastAsia="zh-CN"/>
              </w:rPr>
              <w:t>.</w:t>
            </w:r>
          </w:p>
        </w:tc>
        <w:tc>
          <w:tcPr>
            <w:tcW w:w="1364" w:type="dxa"/>
          </w:tcPr>
          <w:p w14:paraId="69A7D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Conditional </w:t>
            </w:r>
            <w:r w:rsidRPr="000D5FB8">
              <w:rPr>
                <w:rFonts w:ascii="Arial" w:eastAsia="Times New Roman" w:hAnsi="Arial"/>
                <w:sz w:val="18"/>
                <w:szCs w:val="18"/>
                <w:lang w:eastAsia="zh-CN"/>
              </w:rPr>
              <w:t>(NOTE 13)</w:t>
            </w:r>
          </w:p>
        </w:tc>
        <w:tc>
          <w:tcPr>
            <w:tcW w:w="1748" w:type="dxa"/>
          </w:tcPr>
          <w:p w14:paraId="67B35C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6EC09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6BD2DC38" w14:textId="77777777" w:rsidTr="009C2830">
        <w:trPr>
          <w:cantSplit/>
        </w:trPr>
        <w:tc>
          <w:tcPr>
            <w:tcW w:w="1980" w:type="dxa"/>
          </w:tcPr>
          <w:p w14:paraId="42C5B68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DL Maximum Packet Loss Rate</w:t>
            </w:r>
          </w:p>
        </w:tc>
        <w:tc>
          <w:tcPr>
            <w:tcW w:w="2912" w:type="dxa"/>
          </w:tcPr>
          <w:p w14:paraId="35F7A4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w:t>
            </w:r>
            <w:r w:rsidRPr="000D5FB8">
              <w:rPr>
                <w:rFonts w:ascii="Arial" w:eastAsia="Times New Roman" w:hAnsi="Arial"/>
                <w:sz w:val="18"/>
                <w:lang w:eastAsia="en-GB"/>
              </w:rPr>
              <w:t>he maximum rate for lost packets that can be tolerated in the downlink direction</w:t>
            </w:r>
            <w:r w:rsidRPr="000D5FB8">
              <w:rPr>
                <w:rFonts w:ascii="Arial" w:eastAsia="Times New Roman" w:hAnsi="Arial"/>
                <w:sz w:val="18"/>
                <w:lang w:eastAsia="ja-JP"/>
              </w:rPr>
              <w:t xml:space="preserve"> </w:t>
            </w:r>
            <w:r w:rsidRPr="000D5FB8">
              <w:rPr>
                <w:rFonts w:ascii="Arial" w:eastAsia="Times New Roman" w:hAnsi="Arial"/>
                <w:sz w:val="18"/>
                <w:lang w:eastAsia="en-GB"/>
              </w:rPr>
              <w:t xml:space="preserve">for </w:t>
            </w:r>
            <w:r w:rsidRPr="000D5FB8">
              <w:rPr>
                <w:rFonts w:ascii="Arial" w:eastAsia="Times New Roman" w:hAnsi="Arial"/>
                <w:sz w:val="18"/>
                <w:lang w:eastAsia="ja-JP"/>
              </w:rPr>
              <w:t>the</w:t>
            </w:r>
            <w:r w:rsidRPr="000D5FB8">
              <w:rPr>
                <w:rFonts w:ascii="Arial" w:eastAsia="Times New Roman" w:hAnsi="Arial"/>
                <w:sz w:val="18"/>
                <w:lang w:eastAsia="en-GB"/>
              </w:rPr>
              <w:t xml:space="preserve"> service data flow</w:t>
            </w:r>
            <w:r w:rsidRPr="000D5FB8">
              <w:rPr>
                <w:rFonts w:ascii="Arial" w:eastAsia="Times New Roman" w:hAnsi="Arial"/>
                <w:sz w:val="18"/>
                <w:lang w:eastAsia="ja-JP"/>
              </w:rPr>
              <w:t>.</w:t>
            </w:r>
            <w:r w:rsidRPr="000D5FB8">
              <w:rPr>
                <w:rFonts w:ascii="Arial" w:eastAsia="Times New Roman" w:hAnsi="Arial"/>
                <w:sz w:val="18"/>
                <w:szCs w:val="18"/>
                <w:lang w:eastAsia="zh-CN"/>
              </w:rPr>
              <w:t xml:space="preserve"> It is defined in</w:t>
            </w:r>
            <w:r w:rsidRPr="000D5FB8">
              <w:rPr>
                <w:rFonts w:ascii="Arial" w:eastAsia="Times New Roman" w:hAnsi="Arial"/>
                <w:sz w:val="18"/>
                <w:lang w:eastAsia="en-GB"/>
              </w:rPr>
              <w:t xml:space="preserve"> clause 5.7.2.8</w:t>
            </w:r>
            <w:r w:rsidRPr="000D5FB8">
              <w:rPr>
                <w:rFonts w:ascii="Arial" w:eastAsia="Times New Roman" w:hAnsi="Arial"/>
                <w:sz w:val="18"/>
                <w:szCs w:val="18"/>
                <w:lang w:eastAsia="zh-CN"/>
              </w:rPr>
              <w:t xml:space="preserve"> of </w:t>
            </w:r>
            <w:r w:rsidRPr="000D5FB8">
              <w:rPr>
                <w:rFonts w:ascii="Arial" w:eastAsia="Times New Roman" w:hAnsi="Arial"/>
                <w:sz w:val="18"/>
                <w:lang w:eastAsia="en-GB"/>
              </w:rPr>
              <w:t>TS 23.501 [2]</w:t>
            </w:r>
            <w:r w:rsidRPr="000D5FB8">
              <w:rPr>
                <w:rFonts w:ascii="Arial" w:eastAsia="Times New Roman" w:hAnsi="Arial"/>
                <w:sz w:val="18"/>
                <w:lang w:eastAsia="zh-CN"/>
              </w:rPr>
              <w:t>.</w:t>
            </w:r>
          </w:p>
        </w:tc>
        <w:tc>
          <w:tcPr>
            <w:tcW w:w="1364" w:type="dxa"/>
          </w:tcPr>
          <w:p w14:paraId="7877EF1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Conditional </w:t>
            </w:r>
            <w:r w:rsidRPr="000D5FB8">
              <w:rPr>
                <w:rFonts w:ascii="Arial" w:eastAsia="Times New Roman" w:hAnsi="Arial"/>
                <w:sz w:val="18"/>
                <w:szCs w:val="18"/>
                <w:lang w:eastAsia="zh-CN"/>
              </w:rPr>
              <w:t>(NOTE 13)</w:t>
            </w:r>
          </w:p>
        </w:tc>
        <w:tc>
          <w:tcPr>
            <w:tcW w:w="1748" w:type="dxa"/>
          </w:tcPr>
          <w:p w14:paraId="2C1CAF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38E795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4A34410" w14:textId="77777777" w:rsidTr="009C2830">
        <w:trPr>
          <w:cantSplit/>
        </w:trPr>
        <w:tc>
          <w:tcPr>
            <w:tcW w:w="1980" w:type="dxa"/>
          </w:tcPr>
          <w:p w14:paraId="13573EB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val="fr-FR" w:eastAsia="en-GB"/>
              </w:rPr>
            </w:pPr>
            <w:r w:rsidRPr="000D5FB8">
              <w:rPr>
                <w:rFonts w:ascii="Arial" w:eastAsia="Times New Roman" w:hAnsi="Arial"/>
                <w:b/>
                <w:sz w:val="18"/>
                <w:lang w:val="fr-FR" w:eastAsia="en-GB"/>
              </w:rPr>
              <w:t>MA PDU Session Control</w:t>
            </w:r>
          </w:p>
          <w:p w14:paraId="150DBB6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val="fr-FR" w:eastAsia="en-GB"/>
              </w:rPr>
            </w:pPr>
            <w:r w:rsidRPr="000D5FB8">
              <w:rPr>
                <w:rFonts w:ascii="Arial" w:eastAsia="Times New Roman" w:hAnsi="Arial"/>
                <w:b/>
                <w:sz w:val="18"/>
                <w:lang w:val="fr-FR" w:eastAsia="en-GB"/>
              </w:rPr>
              <w:t>(NOTE 20)</w:t>
            </w:r>
          </w:p>
        </w:tc>
        <w:tc>
          <w:tcPr>
            <w:tcW w:w="2912" w:type="dxa"/>
          </w:tcPr>
          <w:p w14:paraId="4ADA94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information supporting control of MA PDU Sessions</w:t>
            </w:r>
          </w:p>
        </w:tc>
        <w:tc>
          <w:tcPr>
            <w:tcW w:w="1364" w:type="dxa"/>
          </w:tcPr>
          <w:p w14:paraId="3E8707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D497B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70EFA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7548077F" w14:textId="77777777" w:rsidTr="009C2830">
        <w:trPr>
          <w:cantSplit/>
        </w:trPr>
        <w:tc>
          <w:tcPr>
            <w:tcW w:w="1980" w:type="dxa"/>
          </w:tcPr>
          <w:p w14:paraId="4676F95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Application descriptors</w:t>
            </w:r>
          </w:p>
        </w:tc>
        <w:tc>
          <w:tcPr>
            <w:tcW w:w="2912" w:type="dxa"/>
          </w:tcPr>
          <w:p w14:paraId="5D4895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49C95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27)</w:t>
            </w:r>
          </w:p>
        </w:tc>
        <w:tc>
          <w:tcPr>
            <w:tcW w:w="1748" w:type="dxa"/>
          </w:tcPr>
          <w:p w14:paraId="462745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B995B1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0D980C8" w14:textId="77777777" w:rsidTr="009C2830">
        <w:trPr>
          <w:cantSplit/>
        </w:trPr>
        <w:tc>
          <w:tcPr>
            <w:tcW w:w="1980" w:type="dxa"/>
          </w:tcPr>
          <w:p w14:paraId="67548F7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Functionality</w:t>
            </w:r>
          </w:p>
        </w:tc>
        <w:tc>
          <w:tcPr>
            <w:tcW w:w="2912" w:type="dxa"/>
          </w:tcPr>
          <w:p w14:paraId="320FC91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applicable traffic steering functionality.</w:t>
            </w:r>
          </w:p>
        </w:tc>
        <w:tc>
          <w:tcPr>
            <w:tcW w:w="1364" w:type="dxa"/>
          </w:tcPr>
          <w:p w14:paraId="22A1D4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21, NOTE 31)</w:t>
            </w:r>
          </w:p>
        </w:tc>
        <w:tc>
          <w:tcPr>
            <w:tcW w:w="1748" w:type="dxa"/>
          </w:tcPr>
          <w:p w14:paraId="356B33A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CA92A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1B843B58" w14:textId="77777777" w:rsidTr="009C2830">
        <w:trPr>
          <w:cantSplit/>
        </w:trPr>
        <w:tc>
          <w:tcPr>
            <w:tcW w:w="1980" w:type="dxa"/>
          </w:tcPr>
          <w:p w14:paraId="232E5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Mode</w:t>
            </w:r>
          </w:p>
        </w:tc>
        <w:tc>
          <w:tcPr>
            <w:tcW w:w="2912" w:type="dxa"/>
          </w:tcPr>
          <w:p w14:paraId="43C09C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rule for distributing traffic between accesses together with associated steering parameters (if any).</w:t>
            </w:r>
          </w:p>
        </w:tc>
        <w:tc>
          <w:tcPr>
            <w:tcW w:w="1364" w:type="dxa"/>
          </w:tcPr>
          <w:p w14:paraId="4F433F7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21, NOTE 31)</w:t>
            </w:r>
          </w:p>
        </w:tc>
        <w:tc>
          <w:tcPr>
            <w:tcW w:w="1748" w:type="dxa"/>
          </w:tcPr>
          <w:p w14:paraId="61E69B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6E5DE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66EA0679" w14:textId="77777777" w:rsidTr="009C2830">
        <w:trPr>
          <w:cantSplit/>
        </w:trPr>
        <w:tc>
          <w:tcPr>
            <w:tcW w:w="1980" w:type="dxa"/>
          </w:tcPr>
          <w:p w14:paraId="3AE54F4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Mode Indicator</w:t>
            </w:r>
          </w:p>
        </w:tc>
        <w:tc>
          <w:tcPr>
            <w:tcW w:w="2912" w:type="dxa"/>
          </w:tcPr>
          <w:p w14:paraId="0A1FF68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either autonomous load-balance operation or UE-assistance operation, if the Steering Mode is set to "Load Balancing", as defined in TS 23.501 [2].</w:t>
            </w:r>
          </w:p>
        </w:tc>
        <w:tc>
          <w:tcPr>
            <w:tcW w:w="1364" w:type="dxa"/>
          </w:tcPr>
          <w:p w14:paraId="074112F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81BF4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9526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9FDC78B" w14:textId="77777777" w:rsidTr="009C2830">
        <w:trPr>
          <w:cantSplit/>
        </w:trPr>
        <w:tc>
          <w:tcPr>
            <w:tcW w:w="1980" w:type="dxa"/>
          </w:tcPr>
          <w:p w14:paraId="3B072E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Threshold Values</w:t>
            </w:r>
          </w:p>
          <w:p w14:paraId="1D9EBF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(NOTE 30)</w:t>
            </w:r>
          </w:p>
        </w:tc>
        <w:tc>
          <w:tcPr>
            <w:tcW w:w="2912" w:type="dxa"/>
          </w:tcPr>
          <w:p w14:paraId="6E381A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A Maximum RTT or a Maximum Packet Loss Rate or both.</w:t>
            </w:r>
          </w:p>
        </w:tc>
        <w:tc>
          <w:tcPr>
            <w:tcW w:w="1364" w:type="dxa"/>
          </w:tcPr>
          <w:p w14:paraId="7961BA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537B75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5813C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BB39D80" w14:textId="77777777" w:rsidTr="009C2830">
        <w:trPr>
          <w:cantSplit/>
        </w:trPr>
        <w:tc>
          <w:tcPr>
            <w:tcW w:w="1980" w:type="dxa"/>
          </w:tcPr>
          <w:p w14:paraId="57DCE7C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Transport Mode</w:t>
            </w:r>
          </w:p>
          <w:p w14:paraId="50B588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33)</w:t>
            </w:r>
          </w:p>
        </w:tc>
        <w:tc>
          <w:tcPr>
            <w:tcW w:w="2912" w:type="dxa"/>
          </w:tcPr>
          <w:p w14:paraId="5F3604F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transport mode that should be used for the matching traffic, as defined in TS 23.501 [2].</w:t>
            </w:r>
          </w:p>
        </w:tc>
        <w:tc>
          <w:tcPr>
            <w:tcW w:w="1364" w:type="dxa"/>
          </w:tcPr>
          <w:p w14:paraId="3669FA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C89B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D04C98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D0DBE98" w14:textId="77777777" w:rsidTr="009C2830">
        <w:trPr>
          <w:cantSplit/>
        </w:trPr>
        <w:tc>
          <w:tcPr>
            <w:tcW w:w="1980" w:type="dxa"/>
          </w:tcPr>
          <w:p w14:paraId="14AE1B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Charging key for Non-3GPP access</w:t>
            </w:r>
          </w:p>
          <w:p w14:paraId="766016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22)</w:t>
            </w:r>
          </w:p>
        </w:tc>
        <w:tc>
          <w:tcPr>
            <w:tcW w:w="2912" w:type="dxa"/>
          </w:tcPr>
          <w:p w14:paraId="5F583C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Charging key used for charging packets carried via Non-3GPP access for a MA PDU Session.</w:t>
            </w:r>
          </w:p>
        </w:tc>
        <w:tc>
          <w:tcPr>
            <w:tcW w:w="1364" w:type="dxa"/>
          </w:tcPr>
          <w:p w14:paraId="5712D5A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9C0A8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54D2E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2C22F6A" w14:textId="77777777" w:rsidTr="009C2830">
        <w:trPr>
          <w:cantSplit/>
        </w:trPr>
        <w:tc>
          <w:tcPr>
            <w:tcW w:w="1980" w:type="dxa"/>
          </w:tcPr>
          <w:p w14:paraId="7355A32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Monitoring key for Non-3GPP access</w:t>
            </w:r>
          </w:p>
          <w:p w14:paraId="376142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23)</w:t>
            </w:r>
          </w:p>
        </w:tc>
        <w:tc>
          <w:tcPr>
            <w:tcW w:w="2912" w:type="dxa"/>
          </w:tcPr>
          <w:p w14:paraId="294E48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Monitoring key used to monitor usage of the packets carried via Non-3GPP access for a MA PDU Session.</w:t>
            </w:r>
          </w:p>
        </w:tc>
        <w:tc>
          <w:tcPr>
            <w:tcW w:w="1364" w:type="dxa"/>
          </w:tcPr>
          <w:p w14:paraId="3B3FA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4B9CF8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75BAB2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60A2443" w14:textId="77777777" w:rsidTr="009C2830">
        <w:trPr>
          <w:cantSplit/>
        </w:trPr>
        <w:tc>
          <w:tcPr>
            <w:tcW w:w="1980" w:type="dxa"/>
          </w:tcPr>
          <w:p w14:paraId="7EA1E87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QoS Monitoring</w:t>
            </w:r>
          </w:p>
        </w:tc>
        <w:tc>
          <w:tcPr>
            <w:tcW w:w="2912" w:type="dxa"/>
          </w:tcPr>
          <w:p w14:paraId="245F4F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QoS Monitoring.</w:t>
            </w:r>
          </w:p>
        </w:tc>
        <w:tc>
          <w:tcPr>
            <w:tcW w:w="1364" w:type="dxa"/>
          </w:tcPr>
          <w:p w14:paraId="7780A03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C8EA42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73BA3D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7DFACBF9" w14:textId="77777777" w:rsidTr="009C2830">
        <w:trPr>
          <w:cantSplit/>
        </w:trPr>
        <w:tc>
          <w:tcPr>
            <w:tcW w:w="1980" w:type="dxa"/>
          </w:tcPr>
          <w:p w14:paraId="3E1DE30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QoS Monitoring parameter(s)</w:t>
            </w:r>
          </w:p>
        </w:tc>
        <w:tc>
          <w:tcPr>
            <w:tcW w:w="2912" w:type="dxa"/>
          </w:tcPr>
          <w:p w14:paraId="1B9C32D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QoS Monitoring parameter(s) for which QoS Monitoring can be enabled as defined in clause 5.45 of TS 23.501 [2].</w:t>
            </w:r>
          </w:p>
        </w:tc>
        <w:tc>
          <w:tcPr>
            <w:tcW w:w="1364" w:type="dxa"/>
          </w:tcPr>
          <w:p w14:paraId="5257B9D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A80AB5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539303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ECFD3AE" w14:textId="77777777" w:rsidTr="009C2830">
        <w:trPr>
          <w:cantSplit/>
        </w:trPr>
        <w:tc>
          <w:tcPr>
            <w:tcW w:w="1980" w:type="dxa"/>
          </w:tcPr>
          <w:p w14:paraId="196FF9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Reporting frequency</w:t>
            </w:r>
          </w:p>
        </w:tc>
        <w:tc>
          <w:tcPr>
            <w:tcW w:w="2912" w:type="dxa"/>
          </w:tcPr>
          <w:p w14:paraId="77B73EF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frequency for the reporting, such as event triggered, periodic.</w:t>
            </w:r>
          </w:p>
        </w:tc>
        <w:tc>
          <w:tcPr>
            <w:tcW w:w="1364" w:type="dxa"/>
          </w:tcPr>
          <w:p w14:paraId="4BF666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6BCFF1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B93C3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731BEFB" w14:textId="77777777" w:rsidTr="009C2830">
        <w:trPr>
          <w:cantSplit/>
        </w:trPr>
        <w:tc>
          <w:tcPr>
            <w:tcW w:w="1980" w:type="dxa"/>
          </w:tcPr>
          <w:p w14:paraId="15F894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Target of reporting</w:t>
            </w:r>
          </w:p>
        </w:tc>
        <w:tc>
          <w:tcPr>
            <w:tcW w:w="2912" w:type="dxa"/>
          </w:tcPr>
          <w:p w14:paraId="7C6E673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target of the QoS Monitoring reports, it can be the NEF, the AF or the Local NEF.</w:t>
            </w:r>
          </w:p>
        </w:tc>
        <w:tc>
          <w:tcPr>
            <w:tcW w:w="1364" w:type="dxa"/>
          </w:tcPr>
          <w:p w14:paraId="327B1D1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81819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A3BA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9B5278E" w14:textId="77777777" w:rsidTr="009C2830">
        <w:trPr>
          <w:cantSplit/>
        </w:trPr>
        <w:tc>
          <w:tcPr>
            <w:tcW w:w="1980" w:type="dxa"/>
          </w:tcPr>
          <w:p w14:paraId="6A786F4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Indication of direct event notification</w:t>
            </w:r>
          </w:p>
        </w:tc>
        <w:tc>
          <w:tcPr>
            <w:tcW w:w="2912" w:type="dxa"/>
          </w:tcPr>
          <w:p w14:paraId="2953188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the QoS Monitoring event shall be reported by the UPF directly to the NF indicated by the Target of reporting.</w:t>
            </w:r>
          </w:p>
        </w:tc>
        <w:tc>
          <w:tcPr>
            <w:tcW w:w="1364" w:type="dxa"/>
          </w:tcPr>
          <w:p w14:paraId="73E072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9907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DC5D62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734C316" w14:textId="77777777" w:rsidTr="009C2830">
        <w:trPr>
          <w:cantSplit/>
        </w:trPr>
        <w:tc>
          <w:tcPr>
            <w:tcW w:w="1980" w:type="dxa"/>
          </w:tcPr>
          <w:p w14:paraId="25BB2B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0D5FB8">
              <w:rPr>
                <w:rFonts w:ascii="Arial" w:eastAsia="Times New Roman" w:hAnsi="Arial"/>
                <w:b/>
                <w:sz w:val="18"/>
                <w:lang w:eastAsia="en-GB"/>
              </w:rPr>
              <w:t>DataCollection_ApplicationIdentifier</w:t>
            </w:r>
            <w:proofErr w:type="spellEnd"/>
          </w:p>
        </w:tc>
        <w:tc>
          <w:tcPr>
            <w:tcW w:w="2912" w:type="dxa"/>
          </w:tcPr>
          <w:p w14:paraId="187EFC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Identifier used in SMF to decide whether this PCC Rule corresponds to an event exposure subscription (see clause 4.15.4.4 of TS 23.502 [3]).</w:t>
            </w:r>
          </w:p>
        </w:tc>
        <w:tc>
          <w:tcPr>
            <w:tcW w:w="1364" w:type="dxa"/>
          </w:tcPr>
          <w:p w14:paraId="5A9D079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538088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61AB645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65EC718" w14:textId="77777777" w:rsidTr="009C2830">
        <w:trPr>
          <w:cantSplit/>
        </w:trPr>
        <w:tc>
          <w:tcPr>
            <w:tcW w:w="1980" w:type="dxa"/>
          </w:tcPr>
          <w:p w14:paraId="0E2CCA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Alternative QoS Parameter Sets</w:t>
            </w:r>
          </w:p>
          <w:p w14:paraId="6771DF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(NOTE 24)</w:t>
            </w:r>
          </w:p>
          <w:p w14:paraId="168BD5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(NOTE 26)</w:t>
            </w:r>
          </w:p>
        </w:tc>
        <w:tc>
          <w:tcPr>
            <w:tcW w:w="2912" w:type="dxa"/>
          </w:tcPr>
          <w:p w14:paraId="0D9AEC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Alternative QoS Parameter Sets for the service data flow.</w:t>
            </w:r>
          </w:p>
        </w:tc>
        <w:tc>
          <w:tcPr>
            <w:tcW w:w="1364" w:type="dxa"/>
          </w:tcPr>
          <w:p w14:paraId="0B781FD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6A62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E51E2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5179C9BB" w14:textId="77777777" w:rsidTr="009C2830">
        <w:trPr>
          <w:cantSplit/>
        </w:trPr>
        <w:tc>
          <w:tcPr>
            <w:tcW w:w="1980" w:type="dxa"/>
          </w:tcPr>
          <w:p w14:paraId="1D08A9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Packet Delay Budget</w:t>
            </w:r>
          </w:p>
        </w:tc>
        <w:tc>
          <w:tcPr>
            <w:tcW w:w="2912" w:type="dxa"/>
          </w:tcPr>
          <w:p w14:paraId="704F0BC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Packet Delay Budget in this Alternative QoS Parameter Set.</w:t>
            </w:r>
          </w:p>
        </w:tc>
        <w:tc>
          <w:tcPr>
            <w:tcW w:w="1364" w:type="dxa"/>
          </w:tcPr>
          <w:p w14:paraId="238472E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B38705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F39A4F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0576586" w14:textId="77777777" w:rsidTr="009C2830">
        <w:trPr>
          <w:cantSplit/>
        </w:trPr>
        <w:tc>
          <w:tcPr>
            <w:tcW w:w="1980" w:type="dxa"/>
          </w:tcPr>
          <w:p w14:paraId="483CE16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Packet Error Rate</w:t>
            </w:r>
          </w:p>
        </w:tc>
        <w:tc>
          <w:tcPr>
            <w:tcW w:w="2912" w:type="dxa"/>
          </w:tcPr>
          <w:p w14:paraId="629FF7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Packet Error Rate in this Alternative QoS Parameter Set.</w:t>
            </w:r>
          </w:p>
        </w:tc>
        <w:tc>
          <w:tcPr>
            <w:tcW w:w="1364" w:type="dxa"/>
          </w:tcPr>
          <w:p w14:paraId="2DE3BD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4E04A5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B90E2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9987E6A" w14:textId="77777777" w:rsidTr="009C2830">
        <w:trPr>
          <w:cantSplit/>
        </w:trPr>
        <w:tc>
          <w:tcPr>
            <w:tcW w:w="1980" w:type="dxa"/>
          </w:tcPr>
          <w:p w14:paraId="33DE78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UL-guaranteed bitrate</w:t>
            </w:r>
          </w:p>
        </w:tc>
        <w:tc>
          <w:tcPr>
            <w:tcW w:w="2912" w:type="dxa"/>
          </w:tcPr>
          <w:p w14:paraId="78C985F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uplink guaranteed bitrate in this Alternative QoS Parameter Set.</w:t>
            </w:r>
          </w:p>
        </w:tc>
        <w:tc>
          <w:tcPr>
            <w:tcW w:w="1364" w:type="dxa"/>
          </w:tcPr>
          <w:p w14:paraId="6625C85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282DF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1C18F0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165C4F5" w14:textId="77777777" w:rsidTr="009C2830">
        <w:trPr>
          <w:cantSplit/>
        </w:trPr>
        <w:tc>
          <w:tcPr>
            <w:tcW w:w="1980" w:type="dxa"/>
          </w:tcPr>
          <w:p w14:paraId="6A36B3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DL-guaranteed bitrate</w:t>
            </w:r>
          </w:p>
        </w:tc>
        <w:tc>
          <w:tcPr>
            <w:tcW w:w="2912" w:type="dxa"/>
          </w:tcPr>
          <w:p w14:paraId="4F8884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downlink guaranteed bitrate in this Alternative QoS Parameter Set.</w:t>
            </w:r>
          </w:p>
        </w:tc>
        <w:tc>
          <w:tcPr>
            <w:tcW w:w="1364" w:type="dxa"/>
          </w:tcPr>
          <w:p w14:paraId="43550C8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0CE4A1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4FC62C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81DBA30" w14:textId="77777777" w:rsidTr="009C2830">
        <w:trPr>
          <w:cantSplit/>
        </w:trPr>
        <w:tc>
          <w:tcPr>
            <w:tcW w:w="1980" w:type="dxa"/>
          </w:tcPr>
          <w:p w14:paraId="0841B70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Maximum Data Burst Volume (MDBV)</w:t>
            </w:r>
          </w:p>
        </w:tc>
        <w:tc>
          <w:tcPr>
            <w:tcW w:w="2912" w:type="dxa"/>
          </w:tcPr>
          <w:p w14:paraId="5C187B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Maximum Data Burst Volume (MDBV) in this Alternative QoS Parameter Set.</w:t>
            </w:r>
          </w:p>
        </w:tc>
        <w:tc>
          <w:tcPr>
            <w:tcW w:w="1364" w:type="dxa"/>
          </w:tcPr>
          <w:p w14:paraId="325776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06D2E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79E1F2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53A5C32" w14:textId="77777777" w:rsidTr="009C2830">
        <w:trPr>
          <w:cantSplit/>
        </w:trPr>
        <w:tc>
          <w:tcPr>
            <w:tcW w:w="1980" w:type="dxa"/>
          </w:tcPr>
          <w:p w14:paraId="577CA4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TSC Assistance Container</w:t>
            </w:r>
          </w:p>
        </w:tc>
        <w:tc>
          <w:tcPr>
            <w:tcW w:w="2912" w:type="dxa"/>
          </w:tcPr>
          <w:p w14:paraId="63CFB1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parameters provided by TSN AF or TSCTSF. The parameters are defined in clause 5.27.2 of TS 23.501 [2].</w:t>
            </w:r>
          </w:p>
        </w:tc>
        <w:tc>
          <w:tcPr>
            <w:tcW w:w="1364" w:type="dxa"/>
          </w:tcPr>
          <w:p w14:paraId="31D0A5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C68BAA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48CE16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FFB49F9" w14:textId="77777777" w:rsidTr="009C2830">
        <w:trPr>
          <w:cantSplit/>
        </w:trPr>
        <w:tc>
          <w:tcPr>
            <w:tcW w:w="1980" w:type="dxa"/>
          </w:tcPr>
          <w:p w14:paraId="4AEFA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Traffic Parameter Information</w:t>
            </w:r>
          </w:p>
        </w:tc>
        <w:tc>
          <w:tcPr>
            <w:tcW w:w="2912" w:type="dxa"/>
          </w:tcPr>
          <w:p w14:paraId="6670E3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Traffic Parameter Information</w:t>
            </w:r>
            <w:r w:rsidRPr="000D5FB8">
              <w:rPr>
                <w:rFonts w:ascii="Arial" w:eastAsia="Times New Roman" w:hAnsi="Arial"/>
                <w:sz w:val="18"/>
                <w:lang w:eastAsia="en-GB"/>
              </w:rPr>
              <w:t xml:space="preserve"> </w:t>
            </w:r>
            <w:r w:rsidRPr="000D5FB8">
              <w:rPr>
                <w:rFonts w:ascii="Arial" w:eastAsia="Times New Roman" w:hAnsi="Arial"/>
                <w:i/>
                <w:sz w:val="18"/>
                <w:lang w:eastAsia="ja-JP"/>
              </w:rPr>
              <w:t>for power saving as specified in clause 5.37.8 of TS 23.501 [2].</w:t>
            </w:r>
          </w:p>
        </w:tc>
        <w:tc>
          <w:tcPr>
            <w:tcW w:w="1364" w:type="dxa"/>
          </w:tcPr>
          <w:p w14:paraId="13D025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39C0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9A7A8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FB136B5" w14:textId="77777777" w:rsidTr="009C2830">
        <w:trPr>
          <w:cantSplit/>
        </w:trPr>
        <w:tc>
          <w:tcPr>
            <w:tcW w:w="1980" w:type="dxa"/>
          </w:tcPr>
          <w:p w14:paraId="2651BA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Periodicity</w:t>
            </w:r>
          </w:p>
        </w:tc>
        <w:tc>
          <w:tcPr>
            <w:tcW w:w="2912" w:type="dxa"/>
          </w:tcPr>
          <w:p w14:paraId="2862756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time period between start of two data bursts in UL and/or DL direction.</w:t>
            </w:r>
          </w:p>
        </w:tc>
        <w:tc>
          <w:tcPr>
            <w:tcW w:w="1364" w:type="dxa"/>
          </w:tcPr>
          <w:p w14:paraId="643EAF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E2C5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DC6D3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F8BEDA9" w14:textId="77777777" w:rsidTr="009C2830">
        <w:trPr>
          <w:cantSplit/>
        </w:trPr>
        <w:tc>
          <w:tcPr>
            <w:tcW w:w="1980" w:type="dxa"/>
          </w:tcPr>
          <w:p w14:paraId="1C8C7D3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Traffic Parameter Measurement</w:t>
            </w:r>
          </w:p>
        </w:tc>
        <w:tc>
          <w:tcPr>
            <w:tcW w:w="2912" w:type="dxa"/>
          </w:tcPr>
          <w:p w14:paraId="54ACA1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Traffic Parameter Measurement for power saving as specified in clause 5.37.8 of TS 23.501 [2].</w:t>
            </w:r>
          </w:p>
        </w:tc>
        <w:tc>
          <w:tcPr>
            <w:tcW w:w="1364" w:type="dxa"/>
          </w:tcPr>
          <w:p w14:paraId="7DB931B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4B4AA3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1F217E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100E2CF1" w14:textId="77777777" w:rsidTr="009C2830">
        <w:trPr>
          <w:cantSplit/>
        </w:trPr>
        <w:tc>
          <w:tcPr>
            <w:tcW w:w="1980" w:type="dxa"/>
          </w:tcPr>
          <w:p w14:paraId="56291F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Traffic Parameter to be measured</w:t>
            </w:r>
          </w:p>
        </w:tc>
        <w:tc>
          <w:tcPr>
            <w:tcW w:w="2912" w:type="dxa"/>
          </w:tcPr>
          <w:p w14:paraId="02B2BFF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to measure the N6 jitter range associated with DL Periodicity and optionally, the UL/DL periodicity.</w:t>
            </w:r>
          </w:p>
        </w:tc>
        <w:tc>
          <w:tcPr>
            <w:tcW w:w="1364" w:type="dxa"/>
          </w:tcPr>
          <w:p w14:paraId="1E7A62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15728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9D8750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BEB4857" w14:textId="77777777" w:rsidTr="009C2830">
        <w:trPr>
          <w:cantSplit/>
        </w:trPr>
        <w:tc>
          <w:tcPr>
            <w:tcW w:w="1980" w:type="dxa"/>
          </w:tcPr>
          <w:p w14:paraId="0ADED12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Reporting condition</w:t>
            </w:r>
          </w:p>
        </w:tc>
        <w:tc>
          <w:tcPr>
            <w:tcW w:w="2912" w:type="dxa"/>
          </w:tcPr>
          <w:p w14:paraId="210A70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condition for the reporting, such as event triggered or periodic, frequency.</w:t>
            </w:r>
          </w:p>
        </w:tc>
        <w:tc>
          <w:tcPr>
            <w:tcW w:w="1364" w:type="dxa"/>
          </w:tcPr>
          <w:p w14:paraId="287B725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2DEEF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DA5C7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A8DC2CF" w14:textId="77777777" w:rsidTr="009C2830">
        <w:trPr>
          <w:cantSplit/>
        </w:trPr>
        <w:tc>
          <w:tcPr>
            <w:tcW w:w="1980" w:type="dxa"/>
          </w:tcPr>
          <w:p w14:paraId="4C4306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Downlink Data Notification Control</w:t>
            </w:r>
          </w:p>
        </w:tc>
        <w:tc>
          <w:tcPr>
            <w:tcW w:w="2912" w:type="dxa"/>
          </w:tcPr>
          <w:p w14:paraId="425A4EC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1D8BFCB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E6A87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7D327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09BE2D9" w14:textId="77777777" w:rsidTr="009C2830">
        <w:trPr>
          <w:cantSplit/>
        </w:trPr>
        <w:tc>
          <w:tcPr>
            <w:tcW w:w="1980" w:type="dxa"/>
          </w:tcPr>
          <w:p w14:paraId="2B777C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Notification control for DDD status</w:t>
            </w:r>
          </w:p>
        </w:tc>
        <w:tc>
          <w:tcPr>
            <w:tcW w:w="2912" w:type="dxa"/>
          </w:tcPr>
          <w:p w14:paraId="21E0E9D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notifications of downlink data delivery status are required and the requested type of such notifications.</w:t>
            </w:r>
          </w:p>
        </w:tc>
        <w:tc>
          <w:tcPr>
            <w:tcW w:w="1364" w:type="dxa"/>
          </w:tcPr>
          <w:p w14:paraId="4C784C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E18D1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92D0EC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EFDB127" w14:textId="77777777" w:rsidTr="009C2830">
        <w:trPr>
          <w:cantSplit/>
        </w:trPr>
        <w:tc>
          <w:tcPr>
            <w:tcW w:w="1980" w:type="dxa"/>
          </w:tcPr>
          <w:p w14:paraId="675A65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Notification Control for DDN Failure</w:t>
            </w:r>
          </w:p>
        </w:tc>
        <w:tc>
          <w:tcPr>
            <w:tcW w:w="2912" w:type="dxa"/>
          </w:tcPr>
          <w:p w14:paraId="11F1716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notifications of DDN Failure are required.</w:t>
            </w:r>
          </w:p>
        </w:tc>
        <w:tc>
          <w:tcPr>
            <w:tcW w:w="1364" w:type="dxa"/>
          </w:tcPr>
          <w:p w14:paraId="7697FA0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F5F72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BC5D15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5D1E9F8" w14:textId="77777777" w:rsidTr="009C2830">
        <w:trPr>
          <w:cantSplit/>
        </w:trPr>
        <w:tc>
          <w:tcPr>
            <w:tcW w:w="1980" w:type="dxa"/>
          </w:tcPr>
          <w:p w14:paraId="6582133C"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PDU Set Control Information</w:t>
            </w:r>
          </w:p>
        </w:tc>
        <w:tc>
          <w:tcPr>
            <w:tcW w:w="2912" w:type="dxa"/>
          </w:tcPr>
          <w:p w14:paraId="4A28DE8E"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Information needed to support the delivery of PDU Sets of a service data flow.</w:t>
            </w:r>
          </w:p>
        </w:tc>
        <w:tc>
          <w:tcPr>
            <w:tcW w:w="1364" w:type="dxa"/>
          </w:tcPr>
          <w:p w14:paraId="1CEECDCC"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059C748"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F3EC32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588514F" w14:textId="77777777" w:rsidTr="009C2830">
        <w:trPr>
          <w:cantSplit/>
        </w:trPr>
        <w:tc>
          <w:tcPr>
            <w:tcW w:w="1980" w:type="dxa"/>
          </w:tcPr>
          <w:p w14:paraId="61097C0D" w14:textId="53F19106"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PDU Set QoS Parameters</w:t>
            </w:r>
            <w:ins w:id="30" w:author="Ericsson" w:date="2024-01-12T09:50:00Z">
              <w:r w:rsidR="00301DD9">
                <w:rPr>
                  <w:rFonts w:ascii="Arial" w:eastAsia="Times New Roman" w:hAnsi="Arial"/>
                  <w:sz w:val="18"/>
                  <w:lang w:eastAsia="en-GB"/>
                </w:rPr>
                <w:t xml:space="preserve"> </w:t>
              </w:r>
            </w:ins>
            <w:ins w:id="31" w:author="Ericsson" w:date="2024-01-25T14:59:00Z">
              <w:r w:rsidR="00EF0993">
                <w:rPr>
                  <w:rFonts w:ascii="Arial" w:eastAsia="Times New Roman" w:hAnsi="Arial"/>
                  <w:sz w:val="18"/>
                  <w:lang w:eastAsia="en-GB"/>
                </w:rPr>
                <w:t>(U</w:t>
              </w:r>
            </w:ins>
            <w:ins w:id="32" w:author="Ericsson" w:date="2024-01-25T15:00:00Z">
              <w:r w:rsidR="00EF0993">
                <w:rPr>
                  <w:rFonts w:ascii="Arial" w:eastAsia="Times New Roman" w:hAnsi="Arial"/>
                  <w:sz w:val="18"/>
                  <w:lang w:eastAsia="en-GB"/>
                </w:rPr>
                <w:t>L/DL)</w:t>
              </w:r>
            </w:ins>
          </w:p>
        </w:tc>
        <w:tc>
          <w:tcPr>
            <w:tcW w:w="2912" w:type="dxa"/>
          </w:tcPr>
          <w:p w14:paraId="43E8D7F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See clause 5.7.7 of TS 23.501 [2].</w:t>
            </w:r>
          </w:p>
        </w:tc>
        <w:tc>
          <w:tcPr>
            <w:tcW w:w="1364" w:type="dxa"/>
          </w:tcPr>
          <w:p w14:paraId="56B1DF0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0C596D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73774C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DB80289" w14:textId="77777777" w:rsidTr="009C2830">
        <w:trPr>
          <w:cantSplit/>
        </w:trPr>
        <w:tc>
          <w:tcPr>
            <w:tcW w:w="1980" w:type="dxa"/>
          </w:tcPr>
          <w:p w14:paraId="39A4268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Data Burst Handling Information</w:t>
            </w:r>
          </w:p>
        </w:tc>
        <w:tc>
          <w:tcPr>
            <w:tcW w:w="2912" w:type="dxa"/>
          </w:tcPr>
          <w:p w14:paraId="6966F9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Data Burst Handling Information</w:t>
            </w:r>
          </w:p>
        </w:tc>
        <w:tc>
          <w:tcPr>
            <w:tcW w:w="1364" w:type="dxa"/>
          </w:tcPr>
          <w:p w14:paraId="2E7643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F937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8D7E6A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4E5BD45E" w14:textId="77777777" w:rsidTr="009C2830">
        <w:trPr>
          <w:cantSplit/>
        </w:trPr>
        <w:tc>
          <w:tcPr>
            <w:tcW w:w="1980" w:type="dxa"/>
          </w:tcPr>
          <w:p w14:paraId="27461D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End of Data Burst Marking Indication</w:t>
            </w:r>
          </w:p>
        </w:tc>
        <w:tc>
          <w:tcPr>
            <w:tcW w:w="2912" w:type="dxa"/>
          </w:tcPr>
          <w:p w14:paraId="47DD3E8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to detect last PDU of the data burst and to mark End of Data Burst Indication (See clause 5.37.8 of TS 23.501 [2]) on the last PDU.</w:t>
            </w:r>
          </w:p>
        </w:tc>
        <w:tc>
          <w:tcPr>
            <w:tcW w:w="1364" w:type="dxa"/>
          </w:tcPr>
          <w:p w14:paraId="0DB37FF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A408A1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8FF1F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2B88BC5" w14:textId="77777777" w:rsidTr="009C2830">
        <w:trPr>
          <w:cantSplit/>
        </w:trPr>
        <w:tc>
          <w:tcPr>
            <w:tcW w:w="1980" w:type="dxa"/>
          </w:tcPr>
          <w:p w14:paraId="33EEFDE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Protocol Description Information</w:t>
            </w:r>
          </w:p>
        </w:tc>
        <w:tc>
          <w:tcPr>
            <w:tcW w:w="2912" w:type="dxa"/>
          </w:tcPr>
          <w:p w14:paraId="728E71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Information needed to support identifying PDU Set Information for packets and/or last packet of a Data Burst.</w:t>
            </w:r>
          </w:p>
        </w:tc>
        <w:tc>
          <w:tcPr>
            <w:tcW w:w="1364" w:type="dxa"/>
          </w:tcPr>
          <w:p w14:paraId="5DA5811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5602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BA637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C65E198" w14:textId="77777777" w:rsidTr="009C2830">
        <w:trPr>
          <w:cantSplit/>
        </w:trPr>
        <w:tc>
          <w:tcPr>
            <w:tcW w:w="1980" w:type="dxa"/>
          </w:tcPr>
          <w:p w14:paraId="3CD6D08B" w14:textId="1CA83EC9"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Protocol Description</w:t>
            </w:r>
            <w:ins w:id="33" w:author="Ericsson" w:date="2024-01-11T15:49:00Z">
              <w:r w:rsidR="00CD38FE">
                <w:rPr>
                  <w:rFonts w:ascii="Arial" w:eastAsia="Times New Roman" w:hAnsi="Arial"/>
                  <w:sz w:val="18"/>
                  <w:lang w:eastAsia="en-GB"/>
                </w:rPr>
                <w:t xml:space="preserve"> </w:t>
              </w:r>
            </w:ins>
            <w:ins w:id="34" w:author="Ericsson" w:date="2024-01-25T15:00:00Z">
              <w:r w:rsidR="00EF0993">
                <w:rPr>
                  <w:rFonts w:ascii="Arial" w:eastAsia="Times New Roman" w:hAnsi="Arial"/>
                  <w:sz w:val="18"/>
                  <w:lang w:eastAsia="en-GB"/>
                </w:rPr>
                <w:t>(UL/DL)</w:t>
              </w:r>
            </w:ins>
          </w:p>
        </w:tc>
        <w:tc>
          <w:tcPr>
            <w:tcW w:w="2912" w:type="dxa"/>
          </w:tcPr>
          <w:p w14:paraId="05C3F418" w14:textId="56553A60" w:rsidR="005052EF" w:rsidRDefault="000D5FB8" w:rsidP="000D5FB8">
            <w:pPr>
              <w:keepNext/>
              <w:keepLines/>
              <w:overflowPunct w:val="0"/>
              <w:autoSpaceDE w:val="0"/>
              <w:autoSpaceDN w:val="0"/>
              <w:adjustRightInd w:val="0"/>
              <w:spacing w:after="0"/>
              <w:textAlignment w:val="baseline"/>
              <w:rPr>
                <w:ins w:id="35" w:author="Ericsson" w:date="2024-01-11T15:56:00Z"/>
                <w:rFonts w:ascii="Arial" w:eastAsia="Times New Roman" w:hAnsi="Arial"/>
                <w:sz w:val="18"/>
                <w:lang w:eastAsia="ja-JP"/>
              </w:rPr>
            </w:pPr>
            <w:r w:rsidRPr="000D5FB8">
              <w:rPr>
                <w:rFonts w:ascii="Arial" w:eastAsia="Times New Roman" w:hAnsi="Arial"/>
                <w:sz w:val="18"/>
                <w:lang w:eastAsia="ja-JP"/>
              </w:rPr>
              <w:t xml:space="preserve">Indicates the protocol, e.g. which is used </w:t>
            </w:r>
            <w:del w:id="36" w:author="MediaTek Inc." w:date="2024-01-25T15:13:00Z">
              <w:r w:rsidRPr="00DC5181" w:rsidDel="009D1E00">
                <w:rPr>
                  <w:rFonts w:ascii="Arial" w:eastAsia="Times New Roman" w:hAnsi="Arial"/>
                  <w:sz w:val="18"/>
                  <w:lang w:eastAsia="ja-JP"/>
                </w:rPr>
                <w:delText>by</w:delText>
              </w:r>
              <w:r w:rsidRPr="000D5FB8" w:rsidDel="009D1E00">
                <w:rPr>
                  <w:rFonts w:ascii="Arial" w:eastAsia="Times New Roman" w:hAnsi="Arial"/>
                  <w:sz w:val="18"/>
                  <w:lang w:eastAsia="ja-JP"/>
                </w:rPr>
                <w:delText xml:space="preserve"> </w:delText>
              </w:r>
            </w:del>
            <w:del w:id="37" w:author="MediaTek Inc." w:date="2024-01-24T10:21:00Z">
              <w:r w:rsidRPr="000D5FB8" w:rsidDel="005D3B53">
                <w:rPr>
                  <w:rFonts w:ascii="Arial" w:eastAsia="Times New Roman" w:hAnsi="Arial"/>
                  <w:sz w:val="18"/>
                  <w:lang w:eastAsia="ja-JP"/>
                </w:rPr>
                <w:delText xml:space="preserve">the PSA UPF </w:delText>
              </w:r>
            </w:del>
            <w:r w:rsidRPr="000D5FB8">
              <w:rPr>
                <w:rFonts w:ascii="Arial" w:eastAsia="Times New Roman" w:hAnsi="Arial"/>
                <w:sz w:val="18"/>
                <w:lang w:eastAsia="ja-JP"/>
              </w:rPr>
              <w:t>to detect PDU Set Information of packets and/or last packet of the Data Burst</w:t>
            </w:r>
            <w:del w:id="38" w:author="Huawei-Hui-D4" w:date="2024-01-25T17:02:00Z">
              <w:r w:rsidRPr="000D5FB8" w:rsidDel="0046316E">
                <w:rPr>
                  <w:rFonts w:ascii="Arial" w:eastAsia="Times New Roman" w:hAnsi="Arial"/>
                  <w:sz w:val="18"/>
                  <w:lang w:eastAsia="ja-JP"/>
                </w:rPr>
                <w:delText xml:space="preserve"> </w:delText>
              </w:r>
              <w:r w:rsidRPr="00DC5181" w:rsidDel="0046316E">
                <w:rPr>
                  <w:rFonts w:ascii="Arial" w:eastAsia="Times New Roman" w:hAnsi="Arial"/>
                  <w:sz w:val="18"/>
                  <w:lang w:eastAsia="ja-JP"/>
                </w:rPr>
                <w:delText>received via N6</w:delText>
              </w:r>
            </w:del>
          </w:p>
          <w:p w14:paraId="7F472F22" w14:textId="1697B803" w:rsidR="000D5FB8" w:rsidRDefault="000D5FB8" w:rsidP="000D5FB8">
            <w:pPr>
              <w:keepNext/>
              <w:keepLines/>
              <w:overflowPunct w:val="0"/>
              <w:autoSpaceDE w:val="0"/>
              <w:autoSpaceDN w:val="0"/>
              <w:adjustRightInd w:val="0"/>
              <w:spacing w:after="0"/>
              <w:textAlignment w:val="baseline"/>
              <w:rPr>
                <w:ins w:id="39" w:author="Ericsson" w:date="2024-01-11T15:50:00Z"/>
                <w:rFonts w:ascii="Arial" w:eastAsia="Times New Roman" w:hAnsi="Arial"/>
                <w:sz w:val="18"/>
                <w:lang w:eastAsia="ja-JP"/>
              </w:rPr>
            </w:pPr>
            <w:r w:rsidRPr="000D5FB8">
              <w:rPr>
                <w:rFonts w:ascii="Arial" w:eastAsia="Times New Roman" w:hAnsi="Arial"/>
                <w:sz w:val="18"/>
                <w:lang w:eastAsia="ja-JP"/>
              </w:rPr>
              <w:t>(See TS 23.501 [2] clause 5.37.5, clause 5.37.8 and TS 26.522 [40]).</w:t>
            </w:r>
          </w:p>
          <w:p w14:paraId="180B4562" w14:textId="656C61AA" w:rsidR="00A26800" w:rsidRPr="000D5FB8" w:rsidRDefault="00A26800" w:rsidP="000D5F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64" w:type="dxa"/>
          </w:tcPr>
          <w:p w14:paraId="03716EC3"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B2DE1F"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3600165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7ADB106" w14:textId="77777777" w:rsidTr="009C2830">
        <w:trPr>
          <w:cantSplit/>
        </w:trPr>
        <w:tc>
          <w:tcPr>
            <w:tcW w:w="9631" w:type="dxa"/>
            <w:gridSpan w:val="5"/>
          </w:tcPr>
          <w:p w14:paraId="2B8C63D4"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w:t>
            </w:r>
            <w:r w:rsidRPr="000D5FB8">
              <w:rPr>
                <w:rFonts w:ascii="Arial" w:eastAsia="Times New Roman"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3DE8D2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w:t>
            </w:r>
            <w:r w:rsidRPr="000D5FB8">
              <w:rPr>
                <w:rFonts w:ascii="Arial" w:eastAsia="Times New Roman"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4BDA533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w:t>
            </w:r>
            <w:r w:rsidRPr="000D5FB8">
              <w:rPr>
                <w:rFonts w:ascii="Arial" w:eastAsia="Times New Roman" w:hAnsi="Arial"/>
                <w:sz w:val="18"/>
                <w:lang w:eastAsia="en-GB"/>
              </w:rPr>
              <w:tab/>
              <w:t>Either service data flow filter(s) or application identifier shall be defined per each rule.</w:t>
            </w:r>
          </w:p>
          <w:p w14:paraId="11B7E982"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4:</w:t>
            </w:r>
            <w:r w:rsidRPr="000D5FB8">
              <w:rPr>
                <w:rFonts w:ascii="Arial" w:eastAsia="Times New Roman" w:hAnsi="Arial"/>
                <w:sz w:val="18"/>
                <w:lang w:eastAsia="en-GB"/>
              </w:rPr>
              <w:tab/>
              <w:t>YES, if the service data flow template consists of a set of service data flow filters. NO if the service data flow template consists of an application identifier</w:t>
            </w:r>
          </w:p>
          <w:p w14:paraId="5785E95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5:</w:t>
            </w:r>
            <w:r w:rsidRPr="000D5FB8">
              <w:rPr>
                <w:rFonts w:ascii="Arial" w:eastAsia="Times New Roman" w:hAnsi="Arial"/>
                <w:sz w:val="18"/>
                <w:lang w:eastAsia="en-GB"/>
              </w:rPr>
              <w:tab/>
              <w:t>Optional and applicable only if application identifier exists within the rule.</w:t>
            </w:r>
          </w:p>
          <w:p w14:paraId="47562CB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6:</w:t>
            </w:r>
            <w:r w:rsidRPr="000D5FB8">
              <w:rPr>
                <w:rFonts w:ascii="Arial" w:eastAsia="Times New Roman" w:hAnsi="Arial"/>
                <w:sz w:val="18"/>
                <w:lang w:eastAsia="en-GB"/>
              </w:rPr>
              <w:tab/>
              <w:t>Applicable to sponsored data connectivity.</w:t>
            </w:r>
          </w:p>
          <w:p w14:paraId="4FFD339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7:</w:t>
            </w:r>
            <w:r w:rsidRPr="000D5FB8">
              <w:rPr>
                <w:rFonts w:ascii="Arial" w:eastAsia="Times New Roman" w:hAnsi="Arial"/>
                <w:sz w:val="18"/>
                <w:lang w:eastAsia="en-GB"/>
              </w:rPr>
              <w:tab/>
              <w:t>Mandatory if there is no default charging method for the PDU Session.</w:t>
            </w:r>
          </w:p>
          <w:p w14:paraId="3FB188B7"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8:</w:t>
            </w:r>
            <w:r w:rsidRPr="000D5FB8">
              <w:rPr>
                <w:rFonts w:ascii="Arial" w:eastAsia="Times New Roman" w:hAnsi="Arial"/>
                <w:sz w:val="18"/>
                <w:lang w:eastAsia="en-GB"/>
              </w:rPr>
              <w:tab/>
              <w:t>Optional and applicable only if application identifier exists within the rule.</w:t>
            </w:r>
          </w:p>
          <w:p w14:paraId="18D6B24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9:</w:t>
            </w:r>
            <w:r w:rsidRPr="000D5FB8">
              <w:rPr>
                <w:rFonts w:ascii="Arial" w:eastAsia="Times New Roman" w:hAnsi="Arial"/>
                <w:sz w:val="18"/>
                <w:lang w:eastAsia="en-GB"/>
              </w:rPr>
              <w:tab/>
              <w:t>If Redirect is enabled.</w:t>
            </w:r>
          </w:p>
          <w:p w14:paraId="7F82AA9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10:</w:t>
            </w:r>
            <w:r w:rsidRPr="000D5FB8">
              <w:rPr>
                <w:rFonts w:ascii="Arial" w:eastAsia="Times New Roman" w:hAnsi="Arial"/>
                <w:sz w:val="18"/>
                <w:lang w:eastAsia="en-GB"/>
              </w:rPr>
              <w:tab/>
              <w:t>Mandatory when Bind to QoS Flow associated with the default QoS rule is not present.</w:t>
            </w:r>
          </w:p>
          <w:p w14:paraId="52D7E176"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11:</w:t>
            </w:r>
            <w:r w:rsidRPr="000D5FB8">
              <w:rPr>
                <w:rFonts w:ascii="Arial" w:eastAsia="Times New Roman" w:hAnsi="Arial"/>
                <w:sz w:val="18"/>
                <w:lang w:eastAsia="en-GB"/>
              </w:rPr>
              <w:tab/>
              <w:t>The presence of this attribute causes the 5QI/ARP/QNC/Priority Level/Averaging Window/Maximum Data Burst Volume of the rule to be ignored for the QoS Flow binding.</w:t>
            </w:r>
          </w:p>
          <w:p w14:paraId="3EF14E1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12:</w:t>
            </w:r>
            <w:r w:rsidRPr="000D5FB8">
              <w:rPr>
                <w:rFonts w:ascii="Arial" w:eastAsia="Times New Roman"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4A4DF3F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13:</w:t>
            </w:r>
            <w:r w:rsidRPr="000D5FB8">
              <w:rPr>
                <w:rFonts w:ascii="Arial" w:eastAsia="Times New Roman" w:hAnsi="Arial"/>
                <w:sz w:val="18"/>
                <w:lang w:eastAsia="en-GB"/>
              </w:rPr>
              <w:tab/>
              <w:t>Optional and applicable only for voice service data flow in this release.</w:t>
            </w:r>
          </w:p>
          <w:p w14:paraId="2B943CBE"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14:</w:t>
            </w:r>
            <w:r w:rsidRPr="000D5FB8">
              <w:rPr>
                <w:rFonts w:ascii="Arial" w:eastAsia="Times New Roman" w:hAnsi="Arial"/>
                <w:sz w:val="18"/>
                <w:lang w:eastAsia="en-GB"/>
              </w:rPr>
              <w:tab/>
              <w:t>Optional and applicable only when a value different from the standardized value for this 5QI in Table 5.7.4-1 TS 23.501 [2] is required.</w:t>
            </w:r>
          </w:p>
          <w:p w14:paraId="70EB16D8"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15:</w:t>
            </w:r>
            <w:r w:rsidRPr="000D5FB8">
              <w:rPr>
                <w:rFonts w:ascii="Arial" w:eastAsia="Times New Roman" w:hAnsi="Arial"/>
                <w:sz w:val="18"/>
                <w:lang w:eastAsia="en-GB"/>
              </w:rPr>
              <w:tab/>
              <w:t>Optional and applicable only for GBR service data flow.</w:t>
            </w:r>
          </w:p>
          <w:p w14:paraId="05D843CC"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16:</w:t>
            </w:r>
            <w:r w:rsidRPr="000D5FB8">
              <w:rPr>
                <w:rFonts w:ascii="Arial" w:eastAsia="Times New Roman" w:hAnsi="Arial"/>
                <w:sz w:val="18"/>
                <w:lang w:eastAsia="en-GB"/>
              </w:rPr>
              <w:tab/>
              <w:t>Usage of the charging information in described in TS 32.255 [21].</w:t>
            </w:r>
          </w:p>
          <w:p w14:paraId="54ADAF2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17:</w:t>
            </w:r>
            <w:r w:rsidRPr="000D5FB8">
              <w:rPr>
                <w:rFonts w:ascii="Arial" w:eastAsia="Times New Roman" w:hAnsi="Arial"/>
                <w:sz w:val="18"/>
                <w:lang w:eastAsia="en-GB"/>
              </w:rPr>
              <w:tab/>
              <w:t>Only one PCC rule can contain this attribute and this PCC rule shall not contain the attribute Bind to QoS Flow associated with the default QoS rule.</w:t>
            </w:r>
          </w:p>
          <w:p w14:paraId="2625D818"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18:</w:t>
            </w:r>
            <w:r w:rsidRPr="000D5FB8">
              <w:rPr>
                <w:rFonts w:ascii="Arial" w:eastAsia="Times New Roman" w:hAnsi="Arial"/>
                <w:sz w:val="18"/>
                <w:lang w:eastAsia="en-GB"/>
              </w:rPr>
              <w:tab/>
              <w:t>None, one of the two or both may be present in a PCC rule.</w:t>
            </w:r>
          </w:p>
          <w:p w14:paraId="14DFD18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19:</w:t>
            </w:r>
            <w:r w:rsidRPr="000D5FB8">
              <w:rPr>
                <w:rFonts w:ascii="Arial" w:eastAsia="Times New Roman"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9762CD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20:</w:t>
            </w:r>
            <w:r w:rsidRPr="000D5FB8">
              <w:rPr>
                <w:rFonts w:ascii="Arial" w:eastAsia="Times New Roman" w:hAnsi="Arial"/>
                <w:sz w:val="18"/>
                <w:lang w:eastAsia="en-GB"/>
              </w:rPr>
              <w:tab/>
              <w:t>Only applicable to a PCC Rules provided to a MA PDU Session.</w:t>
            </w:r>
          </w:p>
          <w:p w14:paraId="75A222A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21:</w:t>
            </w:r>
            <w:r w:rsidRPr="000D5FB8">
              <w:rPr>
                <w:rFonts w:ascii="Arial" w:eastAsia="Times New Roman" w:hAnsi="Arial"/>
                <w:sz w:val="18"/>
                <w:lang w:eastAsia="en-GB"/>
              </w:rPr>
              <w:tab/>
              <w:t>Mandatory when MA PDU Session Control information is provided.</w:t>
            </w:r>
          </w:p>
          <w:p w14:paraId="6818E4A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22:</w:t>
            </w:r>
            <w:r w:rsidRPr="000D5FB8">
              <w:rPr>
                <w:rFonts w:ascii="Arial" w:eastAsia="Times New Roman" w:hAnsi="Arial"/>
                <w:sz w:val="18"/>
                <w:lang w:eastAsia="en-GB"/>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1E09595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23:</w:t>
            </w:r>
            <w:r w:rsidRPr="000D5FB8">
              <w:rPr>
                <w:rFonts w:ascii="Arial" w:eastAsia="Times New Roman" w:hAnsi="Arial"/>
                <w:sz w:val="18"/>
                <w:lang w:eastAsia="en-GB"/>
              </w:rPr>
              <w:tab/>
              <w:t>When a Monitoring key for Non-3GPP access is provided, the Monitoring key (in the Usage Monitoring Control Section) shall be used to monitor usage of the packets carried via the 3GPP access.</w:t>
            </w:r>
          </w:p>
          <w:p w14:paraId="67B5946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24:</w:t>
            </w:r>
            <w:r w:rsidRPr="000D5FB8">
              <w:rPr>
                <w:rFonts w:ascii="Arial" w:eastAsia="Times New Roman" w:hAnsi="Arial"/>
                <w:sz w:val="18"/>
                <w:lang w:eastAsia="en-GB"/>
              </w:rPr>
              <w:tab/>
              <w:t>Optional and applicable only for GBR service data flow with QoS Notification Control enabled.</w:t>
            </w:r>
          </w:p>
          <w:p w14:paraId="3C0A4067"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25:</w:t>
            </w:r>
            <w:r w:rsidRPr="000D5FB8">
              <w:rPr>
                <w:rFonts w:ascii="Arial" w:eastAsia="Times New Roman" w:hAnsi="Arial"/>
                <w:sz w:val="18"/>
                <w:lang w:eastAsia="en-GB"/>
              </w:rPr>
              <w:tab/>
              <w:t>Optional and applicable only for GBR service data flow for which Alternative QoS Parameter Set(s) are provided.</w:t>
            </w:r>
          </w:p>
          <w:p w14:paraId="7055903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26:</w:t>
            </w:r>
            <w:r w:rsidRPr="000D5FB8">
              <w:rPr>
                <w:rFonts w:ascii="Arial" w:eastAsia="Times New Roman" w:hAnsi="Arial"/>
                <w:sz w:val="18"/>
                <w:lang w:eastAsia="en-GB"/>
              </w:rPr>
              <w:tab/>
              <w:t>One or more Alternative QoS Parameter Sets can be provided in a prioritized order starting with the Alternative QoS Parameter Set that has the highest priority.</w:t>
            </w:r>
          </w:p>
          <w:p w14:paraId="1D8ACEA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27:</w:t>
            </w:r>
            <w:r w:rsidRPr="000D5FB8">
              <w:rPr>
                <w:rFonts w:ascii="Arial" w:eastAsia="Times New Roman" w:hAnsi="Arial"/>
                <w:sz w:val="18"/>
                <w:lang w:eastAsia="en-GB"/>
              </w:rPr>
              <w:tab/>
              <w:t>Mandatory in MA PDU Session Control information only when there is application identifier in the service data flow template.</w:t>
            </w:r>
          </w:p>
          <w:p w14:paraId="7125839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28:</w:t>
            </w:r>
            <w:r w:rsidRPr="000D5FB8">
              <w:rPr>
                <w:rFonts w:ascii="Arial" w:eastAsia="Times New Roman" w:hAnsi="Arial"/>
                <w:sz w:val="18"/>
                <w:lang w:eastAsia="en-GB"/>
              </w:rPr>
              <w:tab/>
              <w:t>If this parameter is used, it has to be present in every PCC rule of the PDU Session.</w:t>
            </w:r>
          </w:p>
          <w:p w14:paraId="47367C9E"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29:</w:t>
            </w:r>
            <w:r w:rsidRPr="000D5FB8">
              <w:rPr>
                <w:rFonts w:ascii="Arial" w:eastAsia="Times New Roman" w:hAnsi="Arial"/>
                <w:sz w:val="18"/>
                <w:lang w:eastAsia="en-GB"/>
              </w:rPr>
              <w:tab/>
              <w:t>The use of traffic correlation is defined in TS 23.501 [2], clauses 5.6.7.1 and 5.29.</w:t>
            </w:r>
          </w:p>
          <w:p w14:paraId="105792F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30:</w:t>
            </w:r>
            <w:r w:rsidRPr="000D5FB8">
              <w:rPr>
                <w:rFonts w:ascii="Arial" w:eastAsia="Times New Roman" w:hAnsi="Arial"/>
                <w:sz w:val="18"/>
                <w:lang w:eastAsia="en-GB"/>
              </w:rPr>
              <w:tab/>
              <w:t>If Steering Mode is set to "Redundant", either a Maximum RTT or a Maximum Packet Loss Rate may be provided, but not both.</w:t>
            </w:r>
          </w:p>
          <w:p w14:paraId="0AACDD5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31:</w:t>
            </w:r>
            <w:r w:rsidRPr="000D5FB8">
              <w:rPr>
                <w:rFonts w:ascii="Arial" w:eastAsia="Times New Roman" w:hAnsi="Arial"/>
                <w:sz w:val="18"/>
                <w:lang w:eastAsia="en-GB"/>
              </w:rPr>
              <w:tab/>
              <w:t>The Steering functionality "ATSSS-LL" shall not be provided together with Steering Mode "Redundant".</w:t>
            </w:r>
          </w:p>
          <w:p w14:paraId="24B48935"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32:</w:t>
            </w:r>
            <w:r w:rsidRPr="000D5FB8">
              <w:rPr>
                <w:rFonts w:ascii="Arial" w:eastAsia="Times New Roman" w:hAnsi="Arial"/>
                <w:sz w:val="18"/>
                <w:lang w:eastAsia="en-GB"/>
              </w:rPr>
              <w:tab/>
              <w:t>This parameter is only provided when the PCF is configured to provide an explicit indicator to the SMF to enable ECN marking for L4S for the traffic identified by the SDF template.</w:t>
            </w:r>
          </w:p>
          <w:p w14:paraId="3D0082F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33:</w:t>
            </w:r>
            <w:r w:rsidRPr="000D5FB8">
              <w:rPr>
                <w:rFonts w:ascii="Arial" w:eastAsia="Times New Roman" w:hAnsi="Arial"/>
                <w:sz w:val="18"/>
                <w:lang w:eastAsia="en-GB"/>
              </w:rPr>
              <w:tab/>
              <w:t>The Transport Mode may be included when the Steering Functionality is the MPQUIC functionality.</w:t>
            </w:r>
          </w:p>
        </w:tc>
      </w:tr>
    </w:tbl>
    <w:p w14:paraId="582E5569"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p>
    <w:p w14:paraId="048F701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DCBFF1F" w14:textId="77777777" w:rsidR="009C2830" w:rsidRPr="009C2830" w:rsidRDefault="009C2830" w:rsidP="009C2830">
      <w:pPr>
        <w:overflowPunct w:val="0"/>
        <w:autoSpaceDE w:val="0"/>
        <w:autoSpaceDN w:val="0"/>
        <w:adjustRightInd w:val="0"/>
        <w:textAlignment w:val="baseline"/>
        <w:rPr>
          <w:rFonts w:eastAsia="MS Mincho"/>
          <w:lang w:eastAsia="en-GB"/>
        </w:rPr>
      </w:pPr>
      <w:r w:rsidRPr="009C2830">
        <w:rPr>
          <w:rFonts w:eastAsia="Times New Roman"/>
          <w:lang w:eastAsia="en-GB"/>
        </w:rPr>
        <w:t xml:space="preserve">The </w:t>
      </w:r>
      <w:r w:rsidRPr="009C2830">
        <w:rPr>
          <w:rFonts w:eastAsia="Times New Roman"/>
          <w:i/>
          <w:lang w:eastAsia="en-GB"/>
        </w:rPr>
        <w:t>Service data flow template</w:t>
      </w:r>
      <w:r w:rsidRPr="009C2830">
        <w:rPr>
          <w:rFonts w:eastAsia="Times New Roman"/>
          <w:lang w:eastAsia="en-GB"/>
        </w:rPr>
        <w:t xml:space="preserve"> may comprise any number of </w:t>
      </w:r>
      <w:r w:rsidRPr="009C2830">
        <w:rPr>
          <w:rFonts w:eastAsia="Times New Roman"/>
          <w:i/>
          <w:lang w:eastAsia="en-GB"/>
        </w:rPr>
        <w:t>Service data flow filters</w:t>
      </w:r>
      <w:r w:rsidRPr="009C2830">
        <w:rPr>
          <w:rFonts w:eastAsia="Times New Roman"/>
          <w:lang w:eastAsia="en-GB"/>
        </w:rPr>
        <w:t xml:space="preserve"> or an </w:t>
      </w:r>
      <w:r w:rsidRPr="009C2830">
        <w:rPr>
          <w:rFonts w:eastAsia="Times New Roman"/>
          <w:i/>
          <w:lang w:eastAsia="en-GB"/>
        </w:rPr>
        <w:t xml:space="preserve">application identifier </w:t>
      </w:r>
      <w:r w:rsidRPr="009C2830">
        <w:rPr>
          <w:rFonts w:eastAsia="Times New Roman"/>
          <w:lang w:eastAsia="en-GB"/>
        </w:rPr>
        <w:t>as is defined in table 6.3.1.</w:t>
      </w:r>
    </w:p>
    <w:p w14:paraId="6606F6CA"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3:</w:t>
      </w:r>
      <w:r w:rsidRPr="009C2830">
        <w:rPr>
          <w:rFonts w:eastAsia="Times New Roman"/>
          <w:lang w:eastAsia="en-GB"/>
        </w:rPr>
        <w:tab/>
        <w:t>Predefined PCC rules may include service data flow templates, which support extended capabilities, including enhanced capabilities to identify events associated with application protocols.</w:t>
      </w:r>
    </w:p>
    <w:p w14:paraId="34369BD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E06707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81620E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Mute for notification</w:t>
      </w:r>
      <w:r w:rsidRPr="009C2830">
        <w:rPr>
          <w:rFonts w:eastAsia="Times New Roman"/>
          <w:lang w:eastAsia="en-GB"/>
        </w:rPr>
        <w:t xml:space="preserve"> defines whether notification to the PCF of application's starts or stops shall be muted. Absence of this parameter means that start/stop notifications shall be sent.</w:t>
      </w:r>
    </w:p>
    <w:p w14:paraId="13F958A6"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Charging key</w:t>
      </w:r>
      <w:r w:rsidRPr="009C2830">
        <w:rPr>
          <w:rFonts w:eastAsia="Times New Roman"/>
          <w:lang w:eastAsia="en-GB"/>
        </w:rPr>
        <w:t xml:space="preserve"> is the reference to the tariff for the service data flow. Any number of PCC Rules may share the same charging key value. The Charging key values for each service shall be operator configurable.</w:t>
      </w:r>
    </w:p>
    <w:p w14:paraId="5FCA8F27"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4:</w:t>
      </w:r>
      <w:r w:rsidRPr="009C2830">
        <w:rPr>
          <w:rFonts w:eastAsia="Times New Roman"/>
          <w:lang w:eastAsia="en-GB"/>
        </w:rPr>
        <w:tab/>
        <w:t>Assigning the same Charging key for several service data flows implies that the charging does not require the credit management to be handled separately.</w:t>
      </w:r>
    </w:p>
    <w:p w14:paraId="78E2A38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Service identifier</w:t>
      </w:r>
      <w:r w:rsidRPr="009C2830">
        <w:rPr>
          <w:rFonts w:eastAsia="Times New Roman"/>
          <w:lang w:eastAsia="en-GB"/>
        </w:rPr>
        <w:t xml:space="preserve"> identifies the service. PCC Rules may share the same service identifier value. The service identifier provides the most detailed identification, specified for flow-based charging, of a service data flow.</w:t>
      </w:r>
    </w:p>
    <w:p w14:paraId="29A791FD"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5:</w:t>
      </w:r>
      <w:r w:rsidRPr="009C2830">
        <w:rPr>
          <w:rFonts w:eastAsia="Times New Roman"/>
          <w:lang w:eastAsia="en-GB"/>
        </w:rPr>
        <w:tab/>
        <w:t>The PCC rule service identifier need not have any relationship to service identifiers used on the AF level, i.e. is an operator policy option.</w:t>
      </w:r>
    </w:p>
    <w:p w14:paraId="1C984FC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Sponsor Identifier</w:t>
      </w:r>
      <w:r w:rsidRPr="009C2830">
        <w:rPr>
          <w:rFonts w:eastAsia="Times New Roman"/>
          <w:lang w:eastAsia="en-GB"/>
        </w:rPr>
        <w:t xml:space="preserve"> indicates the (3rd) party organization willing to pay for the operator's charge for connectivity required to deliver a service to the end user.</w:t>
      </w:r>
    </w:p>
    <w:p w14:paraId="1A39805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Application Service Provider Identifier</w:t>
      </w:r>
      <w:r w:rsidRPr="009C2830">
        <w:rPr>
          <w:rFonts w:eastAsia="Times New Roman"/>
          <w:lang w:eastAsia="en-GB"/>
        </w:rPr>
        <w:t xml:space="preserve"> indicates the (3rd) party organization delivering a service to the end user.</w:t>
      </w:r>
    </w:p>
    <w:p w14:paraId="2AFCD3B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Charging method</w:t>
      </w:r>
      <w:r w:rsidRPr="009C2830">
        <w:rPr>
          <w:rFonts w:eastAsia="Times New Roman"/>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0539622"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6:</w:t>
      </w:r>
      <w:r w:rsidRPr="009C2830">
        <w:rPr>
          <w:rFonts w:eastAsia="Times New Roman"/>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1B37117"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noProof/>
          <w:lang w:eastAsia="en-GB"/>
        </w:rPr>
        <w:t>Service Data Flow handling while requesting credit</w:t>
      </w:r>
      <w:r w:rsidRPr="009C2830">
        <w:rPr>
          <w:rFonts w:eastAsia="Times New Roman"/>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3C0657E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Measurement method</w:t>
      </w:r>
      <w:r w:rsidRPr="009C2830">
        <w:rPr>
          <w:rFonts w:eastAsia="Times New Roman"/>
          <w:lang w:eastAsia="en-GB"/>
        </w:rPr>
        <w:t xml:space="preserve"> indicates what measurements apply to charging for a PCC rule.</w:t>
      </w:r>
    </w:p>
    <w:p w14:paraId="5A67C70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Service Identifier Level Reporting</w:t>
      </w:r>
      <w:r w:rsidRPr="009C2830">
        <w:rPr>
          <w:rFonts w:eastAsia="Times New Roman"/>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5A4B76F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lastRenderedPageBreak/>
        <w:t xml:space="preserve">The </w:t>
      </w:r>
      <w:r w:rsidRPr="009C2830">
        <w:rPr>
          <w:rFonts w:eastAsia="Times New Roman"/>
          <w:i/>
          <w:lang w:eastAsia="en-GB"/>
        </w:rPr>
        <w:t>Application Function Record Information</w:t>
      </w:r>
      <w:r w:rsidRPr="009C2830">
        <w:rPr>
          <w:rFonts w:eastAsia="Times New Roman"/>
          <w:lang w:eastAsia="en-GB"/>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C20B622"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7:</w:t>
      </w:r>
      <w:r w:rsidRPr="009C2830">
        <w:rPr>
          <w:rFonts w:eastAsia="Times New Roman"/>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DF7F13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Gate</w:t>
      </w:r>
      <w:r w:rsidRPr="009C2830">
        <w:rPr>
          <w:rFonts w:eastAsia="Times New Roman"/>
          <w:lang w:eastAsia="en-GB"/>
        </w:rPr>
        <w:t xml:space="preserve"> indicates whether the SMF shall instruct the UPF to let a packet identified by the PCC rule pass through (gate is open) to discard the packet (gate is closed).</w:t>
      </w:r>
    </w:p>
    <w:p w14:paraId="1BEECEE3"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8:</w:t>
      </w:r>
      <w:r w:rsidRPr="009C2830">
        <w:rPr>
          <w:rFonts w:eastAsia="Times New Roman"/>
          <w:lang w:eastAsia="en-GB"/>
        </w:rPr>
        <w:tab/>
        <w:t>A packet, matching a PCC Rule with an open gate, may be discarded due to credit management reasons.</w:t>
      </w:r>
    </w:p>
    <w:p w14:paraId="33839B8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5G QoS Identifier</w:t>
      </w:r>
      <w:r w:rsidRPr="009C2830">
        <w:rPr>
          <w:rFonts w:eastAsia="Times New Roman"/>
          <w:lang w:eastAsia="en-GB"/>
        </w:rPr>
        <w:t>, 5QI, represents the QoS parameters for the service data flow. The 5G QoS identifier is scalar and accommodates the need for differentiating QoS in both 3GPP and non-3GPP access type.</w:t>
      </w:r>
    </w:p>
    <w:p w14:paraId="5AF170D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bitrates indicate the authorized bitrates at the IP packet level of the SDF, i.e. the bitrates of the IP packets before any access specific compression or encapsulation.</w:t>
      </w:r>
    </w:p>
    <w:p w14:paraId="7B81CA4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maximum-bitrate</w:t>
      </w:r>
      <w:r w:rsidRPr="009C2830">
        <w:rPr>
          <w:rFonts w:eastAsia="Times New Roman"/>
          <w:lang w:eastAsia="en-GB"/>
        </w:rPr>
        <w:t xml:space="preserve"> indicates the authorized maximum bitrate for the uplink component of the service data flow.</w:t>
      </w:r>
    </w:p>
    <w:p w14:paraId="3D3AFE02"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maximum-bitrate</w:t>
      </w:r>
      <w:r w:rsidRPr="009C2830">
        <w:rPr>
          <w:rFonts w:eastAsia="Times New Roman"/>
          <w:lang w:eastAsia="en-GB"/>
        </w:rPr>
        <w:t xml:space="preserve"> indicates the authorized maximum bitrate for the downlink component of the service data flow.</w:t>
      </w:r>
    </w:p>
    <w:p w14:paraId="1B2F6D5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guaranteed-bitrate</w:t>
      </w:r>
      <w:r w:rsidRPr="009C2830">
        <w:rPr>
          <w:rFonts w:eastAsia="Times New Roman"/>
          <w:lang w:eastAsia="en-GB"/>
        </w:rPr>
        <w:t xml:space="preserve"> indicates the authorized guaranteed bitrate for the uplink component of the service data flow.</w:t>
      </w:r>
    </w:p>
    <w:p w14:paraId="0581870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guaranteed-bitrate</w:t>
      </w:r>
      <w:r w:rsidRPr="009C2830">
        <w:rPr>
          <w:rFonts w:eastAsia="Times New Roman"/>
          <w:lang w:eastAsia="en-GB"/>
        </w:rPr>
        <w:t xml:space="preserve"> indicates the authorized guaranteed bitrate for the downlink component of the service data flow.</w:t>
      </w:r>
    </w:p>
    <w:p w14:paraId="5526FAA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'Maximum bitrate' is used for enforcement of the maximum bit rate that the SDF may consume, while the 'Guaranteed bitrate' is used by the SMF to determine resource allocation demands.</w:t>
      </w:r>
    </w:p>
    <w:p w14:paraId="5369C47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sharing indication</w:t>
      </w:r>
      <w:r w:rsidRPr="009C2830">
        <w:rPr>
          <w:rFonts w:eastAsia="Times New Roman"/>
          <w:lang w:eastAsia="en-GB"/>
        </w:rPr>
        <w:t xml:space="preserve"> indicates that resource sharing in uplink direction for service data flows with the same value in their PCC rule shall be applied by the SMF as described in clause 6.2.2.4.</w:t>
      </w:r>
    </w:p>
    <w:p w14:paraId="1BA2B1C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sharing indication</w:t>
      </w:r>
      <w:r w:rsidRPr="009C2830">
        <w:rPr>
          <w:rFonts w:eastAsia="Times New Roman"/>
          <w:lang w:eastAsia="en-GB"/>
        </w:rPr>
        <w:t xml:space="preserve"> indicates that resource sharing in downlink direction for service data flows with the same value in their PCC rule shall be applied by the SMF as described in clause 6.2.2.4.</w:t>
      </w:r>
    </w:p>
    <w:p w14:paraId="4B8A904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Allocation and Retention Priority</w:t>
      </w:r>
      <w:r w:rsidRPr="009C2830">
        <w:rPr>
          <w:rFonts w:eastAsia="Times New Roman"/>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CEF3F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Priority Level</w:t>
      </w:r>
      <w:r w:rsidRPr="009C2830">
        <w:rPr>
          <w:rFonts w:eastAsia="Times New Roman"/>
          <w:lang w:eastAsia="en-GB"/>
        </w:rPr>
        <w:t xml:space="preserve"> is signalled together with the 5QI to the (R)AN and UPF,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2771958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Averaging Window</w:t>
      </w:r>
      <w:r w:rsidRPr="009C2830">
        <w:rPr>
          <w:rFonts w:eastAsia="Times New Roman"/>
          <w:lang w:eastAsia="en-GB"/>
        </w:rPr>
        <w:t xml:space="preserve"> is signalled together with the 5QI to the (R)AN and UPF,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4B825D9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Maximum Data Burst Volume</w:t>
      </w:r>
      <w:r w:rsidRPr="009C2830">
        <w:rPr>
          <w:rFonts w:eastAsia="Times New Roman"/>
          <w:lang w:eastAsia="en-GB"/>
        </w:rPr>
        <w:t xml:space="preserve">, MDBV, is signalled together with the 5QI to the (R)AN,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634D6C3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Bind to QoS Flow associated with the default QoS rule</w:t>
      </w:r>
      <w:r w:rsidRPr="009C2830">
        <w:rPr>
          <w:rFonts w:eastAsia="Times New Roman"/>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2C3DEF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Bind to QoS Flow associated with the default QoS rule and apply PCC rule parameters</w:t>
      </w:r>
      <w:r w:rsidRPr="009C2830">
        <w:rPr>
          <w:rFonts w:eastAsia="Times New Roman"/>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F14E47B"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lastRenderedPageBreak/>
        <w:t>NOTE 9:</w:t>
      </w:r>
      <w:r w:rsidRPr="009C2830">
        <w:rPr>
          <w:rFonts w:eastAsia="Times New Roman"/>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F8E1BC6"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 xml:space="preserve">QoS Notification Control, </w:t>
      </w:r>
      <w:r w:rsidRPr="009C2830">
        <w:rPr>
          <w:rFonts w:eastAsia="Times New Roman"/>
          <w:lang w:eastAsia="en-GB"/>
        </w:rPr>
        <w:t>QNC</w:t>
      </w:r>
      <w:r w:rsidRPr="009C2830">
        <w:rPr>
          <w:rFonts w:eastAsia="Times New Roman"/>
          <w:i/>
          <w:lang w:eastAsia="en-GB"/>
        </w:rPr>
        <w:t>,</w:t>
      </w:r>
      <w:r w:rsidRPr="009C2830">
        <w:rPr>
          <w:rFonts w:eastAsia="Times New Roman"/>
          <w:lang w:eastAsia="en-GB"/>
        </w:rPr>
        <w:t xml:space="preserve"> indicates whether notifications are requested from the access network (i.e. 3GPP RAN) </w:t>
      </w:r>
      <w:r w:rsidRPr="009C2830">
        <w:rPr>
          <w:rFonts w:eastAsia="Times New Roman"/>
          <w:lang w:eastAsia="zh-CN"/>
        </w:rPr>
        <w:t>when</w:t>
      </w:r>
      <w:r w:rsidRPr="009C2830">
        <w:rPr>
          <w:rFonts w:eastAsia="Times New Roman"/>
          <w:lang w:eastAsia="en-GB"/>
        </w:rPr>
        <w:t xml:space="preserve"> the </w:t>
      </w:r>
      <w:r w:rsidRPr="009C2830">
        <w:rPr>
          <w:rFonts w:eastAsia="Times New Roman"/>
          <w:lang w:eastAsia="zh-CN"/>
        </w:rPr>
        <w:t>GFBR</w:t>
      </w:r>
      <w:r w:rsidRPr="009C2830">
        <w:rPr>
          <w:rFonts w:eastAsia="Times New Roman"/>
          <w:lang w:eastAsia="en-GB"/>
        </w:rPr>
        <w:t xml:space="preserve"> can no longer (or can again) be guaranteed for a QoS Flow during the lifetime of the QoS Flow. If it is set and the GFBR can no longer</w:t>
      </w:r>
      <w:r w:rsidRPr="009C2830" w:rsidDel="000B700E">
        <w:rPr>
          <w:rFonts w:eastAsia="Times New Roman"/>
          <w:lang w:eastAsia="en-GB"/>
        </w:rPr>
        <w:t xml:space="preserve"> </w:t>
      </w:r>
      <w:r w:rsidRPr="009C2830">
        <w:rPr>
          <w:rFonts w:eastAsia="Times New Roman"/>
          <w:lang w:eastAsia="en-GB"/>
        </w:rPr>
        <w:t>(or can again) be guaranteed, the access network (i.e. 3GPP RAN) sends a notification towards the SMF, which then notifies the PCF.</w:t>
      </w:r>
    </w:p>
    <w:p w14:paraId="49CC53A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SimSun"/>
          <w:szCs w:val="18"/>
          <w:lang w:eastAsia="zh-CN"/>
        </w:rPr>
        <w:t xml:space="preserve">The </w:t>
      </w:r>
      <w:r w:rsidRPr="009C2830">
        <w:rPr>
          <w:rFonts w:eastAsia="Times New Roman"/>
          <w:i/>
          <w:lang w:eastAsia="en-GB"/>
        </w:rPr>
        <w:t>Disable UE notifications at changes related to Alternative QoS Profiles</w:t>
      </w:r>
      <w:r w:rsidRPr="009C2830" w:rsidDel="002950D1">
        <w:rPr>
          <w:rFonts w:eastAsia="Times New Roman"/>
          <w:i/>
          <w:lang w:eastAsia="en-GB"/>
        </w:rPr>
        <w:t xml:space="preserve"> </w:t>
      </w:r>
      <w:r w:rsidRPr="009C2830">
        <w:rPr>
          <w:rFonts w:eastAsia="Times New Roman"/>
          <w:iCs/>
          <w:lang w:eastAsia="en-GB"/>
        </w:rPr>
        <w:t xml:space="preserve">parameter indicates to </w:t>
      </w:r>
      <w:r w:rsidRPr="009C2830">
        <w:rPr>
          <w:rFonts w:eastAsia="SimSun"/>
          <w:lang w:eastAsia="zh-CN"/>
        </w:rPr>
        <w:t xml:space="preserve">disable QoS Flow parameters signalling to </w:t>
      </w:r>
      <w:r w:rsidRPr="009C2830">
        <w:rPr>
          <w:rFonts w:eastAsia="Times New Roman"/>
          <w:iCs/>
          <w:lang w:eastAsia="en-GB"/>
        </w:rPr>
        <w:t>the UE when the SMF is notified by the NG-RAN of changes in the fulfilled QoS situation. The fulfilled situation is either the QoS profile or an Alternative QoS Profile.</w:t>
      </w:r>
    </w:p>
    <w:p w14:paraId="3EB1BD2E"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iCs/>
          <w:lang w:eastAsia="zh-CN"/>
        </w:rPr>
        <w:t>Precedence for TFT packet filter allocation</w:t>
      </w:r>
      <w:r w:rsidRPr="009C2830">
        <w:rPr>
          <w:rFonts w:eastAsia="Times New Roman"/>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3B35831"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zh-CN"/>
        </w:rPr>
      </w:pPr>
      <w:r w:rsidRPr="009C2830">
        <w:rPr>
          <w:rFonts w:eastAsia="Times New Roman"/>
          <w:lang w:eastAsia="zh-CN"/>
        </w:rPr>
        <w:t>NOTE 10:</w:t>
      </w:r>
      <w:r w:rsidRPr="009C2830">
        <w:rPr>
          <w:rFonts w:eastAsia="Times New Roman"/>
          <w:lang w:eastAsia="zh-CN"/>
        </w:rPr>
        <w:tab/>
        <w:t>PCF can know that interworking with EPS with N26 is supported based on DNN and S-NSSAI of the PDU Session.</w:t>
      </w:r>
    </w:p>
    <w:p w14:paraId="524B1868"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lang w:eastAsia="zh-CN"/>
        </w:rPr>
        <w:t xml:space="preserve">Reflective QoS Control </w:t>
      </w:r>
      <w:r w:rsidRPr="009C2830">
        <w:rPr>
          <w:rFonts w:eastAsia="Times New Roman"/>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9C2830">
        <w:rPr>
          <w:rFonts w:eastAsia="Times New Roman"/>
          <w:lang w:eastAsia="en-GB"/>
        </w:rPr>
        <w:t>of</w:t>
      </w:r>
      <w:r w:rsidRPr="009C2830">
        <w:rPr>
          <w:rFonts w:eastAsia="Times New Roman"/>
          <w:lang w:eastAsia="zh-CN"/>
        </w:rPr>
        <w:t xml:space="preserve"> TS 23.501 [2].</w:t>
      </w:r>
    </w:p>
    <w:p w14:paraId="25F427FF" w14:textId="77777777" w:rsidR="009C2830" w:rsidRPr="009C2830" w:rsidRDefault="009C2830" w:rsidP="009C2830">
      <w:pPr>
        <w:keepLines/>
        <w:overflowPunct w:val="0"/>
        <w:autoSpaceDE w:val="0"/>
        <w:autoSpaceDN w:val="0"/>
        <w:adjustRightInd w:val="0"/>
        <w:ind w:left="1135" w:hanging="851"/>
        <w:textAlignment w:val="baseline"/>
        <w:rPr>
          <w:rFonts w:eastAsia="SimSun"/>
          <w:lang w:eastAsia="en-GB"/>
        </w:rPr>
      </w:pPr>
      <w:r w:rsidRPr="009C2830">
        <w:rPr>
          <w:rFonts w:eastAsia="SimSun"/>
          <w:lang w:eastAsia="en-GB"/>
        </w:rPr>
        <w:t>NOTE 11:</w:t>
      </w:r>
      <w:r w:rsidRPr="009C2830">
        <w:rPr>
          <w:rFonts w:eastAsia="SimSun"/>
          <w:lang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2AF2FCA"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lang w:eastAsia="zh-CN"/>
        </w:rPr>
        <w:t>Reflective QoS Control</w:t>
      </w:r>
      <w:r w:rsidRPr="009C2830">
        <w:rPr>
          <w:rFonts w:eastAsia="Times New Roman"/>
          <w:lang w:eastAsia="zh-CN"/>
        </w:rPr>
        <w:t xml:space="preserve"> parameter shall not be used for the PCC rule with match-all SDF template. If PCC rule with match-all SDF template is present, the </w:t>
      </w:r>
      <w:r w:rsidRPr="009C2830">
        <w:rPr>
          <w:rFonts w:eastAsia="Times New Roman"/>
          <w:i/>
          <w:lang w:eastAsia="zh-CN"/>
        </w:rPr>
        <w:t>Reflective QoS Control</w:t>
      </w:r>
      <w:r w:rsidRPr="009C2830">
        <w:rPr>
          <w:rFonts w:eastAsia="Times New Roman"/>
          <w:lang w:eastAsia="zh-CN"/>
        </w:rPr>
        <w:t xml:space="preserve"> parameter shall not be used for PCC rules which contain the </w:t>
      </w:r>
      <w:r w:rsidRPr="009C2830">
        <w:rPr>
          <w:rFonts w:eastAsia="Times New Roman"/>
          <w:i/>
          <w:lang w:eastAsia="zh-CN"/>
        </w:rPr>
        <w:t>Bind to QoS Flow of the default QoS rule</w:t>
      </w:r>
      <w:r w:rsidRPr="009C2830">
        <w:rPr>
          <w:rFonts w:eastAsia="Times New Roman"/>
          <w:lang w:eastAsia="zh-CN"/>
        </w:rPr>
        <w:t xml:space="preserve"> parameter, either.</w:t>
      </w:r>
    </w:p>
    <w:p w14:paraId="35C91D2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N6-LAN Traffic Steering Enforcement Control</w:t>
      </w:r>
      <w:r w:rsidRPr="009C2830">
        <w:rPr>
          <w:rFonts w:eastAsia="Times New Roman"/>
          <w:lang w:eastAsia="en-GB"/>
        </w:rPr>
        <w:t xml:space="preserve"> contains </w:t>
      </w:r>
      <w:r w:rsidRPr="009C2830">
        <w:rPr>
          <w:rFonts w:eastAsia="Times New Roman"/>
          <w:i/>
          <w:lang w:eastAsia="en-GB"/>
        </w:rPr>
        <w:t>Traffic steering policy identifier(s)</w:t>
      </w:r>
      <w:r w:rsidRPr="009C2830">
        <w:rPr>
          <w:rFonts w:eastAsia="Times New Roman"/>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7F70CAB7"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ECN marking for L4S</w:t>
      </w:r>
      <w:r w:rsidRPr="009C2830">
        <w:rPr>
          <w:rFonts w:eastAsia="Times New Roman"/>
          <w:lang w:eastAsia="en-GB"/>
        </w:rPr>
        <w:t xml:space="preserve"> indicates that the service data flow supports ECN marking for L4S to be performed.</w:t>
      </w:r>
    </w:p>
    <w:p w14:paraId="251DD55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access network information reporting parameters (</w:t>
      </w:r>
      <w:r w:rsidRPr="009C2830">
        <w:rPr>
          <w:rFonts w:eastAsia="Times New Roman"/>
          <w:i/>
          <w:lang w:eastAsia="en-GB"/>
        </w:rPr>
        <w:t>User Location Report</w:t>
      </w:r>
      <w:r w:rsidRPr="009C2830">
        <w:rPr>
          <w:rFonts w:eastAsia="Times New Roman"/>
          <w:lang w:eastAsia="en-GB"/>
        </w:rPr>
        <w:t xml:space="preserve">, </w:t>
      </w:r>
      <w:r w:rsidRPr="009C2830">
        <w:rPr>
          <w:rFonts w:eastAsia="Times New Roman"/>
          <w:i/>
          <w:lang w:eastAsia="en-GB"/>
        </w:rPr>
        <w:t xml:space="preserve">UE </w:t>
      </w:r>
      <w:proofErr w:type="spellStart"/>
      <w:r w:rsidRPr="009C2830">
        <w:rPr>
          <w:rFonts w:eastAsia="Times New Roman"/>
          <w:i/>
          <w:lang w:eastAsia="en-GB"/>
        </w:rPr>
        <w:t>Timezone</w:t>
      </w:r>
      <w:proofErr w:type="spellEnd"/>
      <w:r w:rsidRPr="009C2830">
        <w:rPr>
          <w:rFonts w:eastAsia="Times New Roman"/>
          <w:i/>
          <w:lang w:eastAsia="en-GB"/>
        </w:rPr>
        <w:t xml:space="preserve"> Report</w:t>
      </w:r>
      <w:r w:rsidRPr="009C2830">
        <w:rPr>
          <w:rFonts w:eastAsia="Times New Roman"/>
          <w:lang w:eastAsia="en-GB"/>
        </w:rPr>
        <w:t>) instruct the SMF about what information to forward to the PCF when the PCC rule is activated, modified or removed.</w:t>
      </w:r>
    </w:p>
    <w:p w14:paraId="048EB5B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Monitoring Key</w:t>
      </w:r>
      <w:r w:rsidRPr="009C2830">
        <w:rPr>
          <w:rFonts w:eastAsia="Times New Roman"/>
          <w:lang w:eastAsia="en-GB"/>
        </w:rPr>
        <w:t xml:space="preserve"> is the reference to a resource threshold. Any number of PCC Rules may share the same monitoring key value. The monitoring key values for each service shall be operator configurable.</w:t>
      </w:r>
    </w:p>
    <w:p w14:paraId="71DED78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Indication of exclusion from session level monitoring</w:t>
      </w:r>
      <w:r w:rsidRPr="009C2830">
        <w:rPr>
          <w:rFonts w:eastAsia="Times New Roman"/>
          <w:lang w:eastAsia="en-GB"/>
        </w:rPr>
        <w:t xml:space="preserve"> indicates that the service data flow shall be excluded from the PDU Session usage monitoring.</w:t>
      </w:r>
    </w:p>
    <w:p w14:paraId="0CFFDF11" w14:textId="77777777" w:rsidR="009C2830" w:rsidRPr="009C2830" w:rsidRDefault="009C2830" w:rsidP="009C2830">
      <w:pPr>
        <w:overflowPunct w:val="0"/>
        <w:autoSpaceDE w:val="0"/>
        <w:autoSpaceDN w:val="0"/>
        <w:adjustRightInd w:val="0"/>
        <w:textAlignment w:val="baseline"/>
        <w:rPr>
          <w:rFonts w:eastAsia="Times New Roman"/>
          <w:i/>
          <w:lang w:eastAsia="en-GB"/>
        </w:rPr>
      </w:pPr>
      <w:r w:rsidRPr="009C2830">
        <w:rPr>
          <w:rFonts w:eastAsia="Times New Roman"/>
          <w:lang w:eastAsia="en-GB"/>
        </w:rPr>
        <w:t>The</w:t>
      </w:r>
      <w:r w:rsidRPr="009C2830">
        <w:rPr>
          <w:rFonts w:eastAsia="Times New Roman"/>
          <w:i/>
          <w:lang w:eastAsia="en-GB"/>
        </w:rPr>
        <w:t xml:space="preserve"> Application Function influence on traffic routing Enforcement Control</w:t>
      </w:r>
      <w:r w:rsidRPr="009C2830">
        <w:rPr>
          <w:rFonts w:eastAsia="Times New Roman"/>
          <w:lang w:eastAsia="en-GB"/>
        </w:rPr>
        <w:t xml:space="preserve"> may contain:</w:t>
      </w:r>
    </w:p>
    <w:p w14:paraId="4F1D547C"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i/>
          <w:lang w:eastAsia="en-GB"/>
        </w:rPr>
        <w:t>-</w:t>
      </w:r>
      <w:r w:rsidRPr="009C2830">
        <w:rPr>
          <w:rFonts w:eastAsia="Times New Roman"/>
          <w:i/>
          <w:lang w:eastAsia="en-GB"/>
        </w:rPr>
        <w:tab/>
        <w:t>a set of DNAI(s)</w:t>
      </w:r>
      <w:r w:rsidRPr="009C2830">
        <w:rPr>
          <w:rFonts w:eastAsia="Times New Roman"/>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33EF39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lang w:eastAsia="en-GB"/>
        </w:rPr>
        <w:t>AF subscription to UP change events</w:t>
      </w:r>
      <w:r w:rsidRPr="009C2830">
        <w:rPr>
          <w:rFonts w:eastAsia="Times New Roman"/>
          <w:lang w:eastAsia="en-GB"/>
        </w:rPr>
        <w:t xml:space="preserve"> parameter which contains subscription information defined in clause 5.2.8.3 of TS 23.502 [3] for the change </w:t>
      </w:r>
      <w:r w:rsidRPr="009C2830">
        <w:rPr>
          <w:rFonts w:eastAsia="DengXian"/>
          <w:lang w:eastAsia="en-GB"/>
        </w:rPr>
        <w:t>of UP path Event Id</w:t>
      </w:r>
      <w:r w:rsidRPr="009C2830">
        <w:rPr>
          <w:rFonts w:eastAsia="Times New Roman"/>
          <w:lang w:eastAsia="en-GB"/>
        </w:rPr>
        <w:t xml:space="preserve"> i.e. an </w:t>
      </w:r>
      <w:r w:rsidRPr="009C2830">
        <w:rPr>
          <w:rFonts w:eastAsia="Times New Roman"/>
          <w:i/>
          <w:lang w:eastAsia="en-GB"/>
        </w:rPr>
        <w:t>Indication of early and/or late notification</w:t>
      </w:r>
      <w:r w:rsidRPr="009C2830">
        <w:rPr>
          <w:rFonts w:eastAsia="Times New Roman"/>
          <w:lang w:eastAsia="en-GB"/>
        </w:rPr>
        <w:t xml:space="preserve"> and information on where to provide the corresponding notifications (Notification Target Address + </w:t>
      </w:r>
      <w:r w:rsidRPr="009C2830">
        <w:rPr>
          <w:rFonts w:eastAsia="Times New Roman"/>
          <w:lang w:eastAsia="en-GB"/>
        </w:rPr>
        <w:lastRenderedPageBreak/>
        <w:t>Notification Correlation ID as specified in</w:t>
      </w:r>
      <w:r w:rsidRPr="009C2830">
        <w:rPr>
          <w:rFonts w:eastAsia="Times New Roman"/>
          <w:lang w:eastAsia="zh-CN"/>
        </w:rPr>
        <w:t xml:space="preserve"> clause 4.15.1</w:t>
      </w:r>
      <w:r w:rsidRPr="009C2830">
        <w:rPr>
          <w:rFonts w:eastAsia="Times New Roman"/>
          <w:lang w:eastAsia="en-GB"/>
        </w:rPr>
        <w:t xml:space="preserve"> of</w:t>
      </w:r>
      <w:r w:rsidRPr="009C2830">
        <w:rPr>
          <w:rFonts w:eastAsia="Times New Roman"/>
          <w:lang w:eastAsia="zh-CN"/>
        </w:rPr>
        <w:t xml:space="preserve"> TS 23.502 [3]</w:t>
      </w:r>
      <w:r w:rsidRPr="009C2830">
        <w:rPr>
          <w:rFonts w:eastAsia="Times New Roman"/>
          <w:lang w:eastAsia="en-GB"/>
        </w:rPr>
        <w:t>) and optionally an indication of "AF acknowledgment to be expected" to the corresponding notifications as described in clause 5.6.7 of TS 23.501 [2].</w:t>
      </w:r>
    </w:p>
    <w:p w14:paraId="11129EFA"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user plane latency requirements</w:t>
      </w:r>
      <w:r w:rsidRPr="009C2830">
        <w:rPr>
          <w:rFonts w:eastAsia="Times New Roman"/>
          <w:lang w:eastAsia="en-GB"/>
        </w:rPr>
        <w:t xml:space="preserve"> parameter which contains AF requested information on the requirements for user plane latency defined in TS 23.548 [33].</w:t>
      </w:r>
    </w:p>
    <w:p w14:paraId="1269912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iCs/>
          <w:lang w:eastAsia="en-GB"/>
        </w:rPr>
        <w:t>indication for Simultaneous Connectivity at Edge Relocation</w:t>
      </w:r>
      <w:r w:rsidRPr="009C2830">
        <w:rPr>
          <w:rFonts w:eastAsia="Times New Roman"/>
          <w:lang w:eastAsia="en-GB"/>
        </w:rPr>
        <w:t xml:space="preserve">, which includes </w:t>
      </w:r>
      <w:r w:rsidRPr="009C2830">
        <w:rPr>
          <w:rFonts w:eastAsia="Times New Roman"/>
          <w:i/>
          <w:iCs/>
          <w:lang w:eastAsia="en-GB"/>
        </w:rPr>
        <w:t>Keep existing PSA</w:t>
      </w:r>
      <w:r w:rsidRPr="009C2830">
        <w:rPr>
          <w:rFonts w:eastAsia="Times New Roman"/>
          <w:lang w:eastAsia="en-GB"/>
        </w:rPr>
        <w:t xml:space="preserve"> indication to provide guidance to the network on whether to provide simultaneous connectivity over source and target PSA at edge relocation; also, optionally a related </w:t>
      </w:r>
      <w:r w:rsidRPr="009C2830">
        <w:rPr>
          <w:rFonts w:eastAsia="Times New Roman"/>
          <w:i/>
          <w:iCs/>
          <w:lang w:eastAsia="en-GB"/>
        </w:rPr>
        <w:t>Keep existing PSA timer</w:t>
      </w:r>
      <w:r w:rsidRPr="009C2830">
        <w:rPr>
          <w:rFonts w:eastAsia="Times New Roman"/>
          <w:lang w:eastAsia="en-GB"/>
        </w:rPr>
        <w:t xml:space="preserve"> that indicates the minimum time interval to be considered for inactivity for the traffic described before the connectivity over the source PSA may be removed, as defined in TS 23.548 [33].</w:t>
      </w:r>
    </w:p>
    <w:p w14:paraId="76F123DB"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iCs/>
          <w:lang w:eastAsia="en-GB"/>
        </w:rPr>
        <w:t>EAS Correlation indication</w:t>
      </w:r>
      <w:r w:rsidRPr="009C2830">
        <w:rPr>
          <w:rFonts w:eastAsia="Times New Roman"/>
          <w:lang w:eastAsia="en-GB"/>
        </w:rPr>
        <w:t>, which indicates selecting a common EAS for a set of UEs identified by Traffic Correlation ID and accessing the application identified by Service data flow template or FQDN(s).</w:t>
      </w:r>
    </w:p>
    <w:p w14:paraId="1BF98158"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Traffic Correlation ID</w:t>
      </w:r>
      <w:r w:rsidRPr="009C2830">
        <w:rPr>
          <w:rFonts w:eastAsia="Times New Roman"/>
          <w:lang w:eastAsia="en-GB"/>
        </w:rPr>
        <w:t>, identifying a set of UEs accessing the application identified by the Service data flow template or FQDN(s). See more in clause 5.6.7 of TS 23.501 [2].</w:t>
      </w:r>
    </w:p>
    <w:p w14:paraId="4DE3DF5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Common EAS IP address</w:t>
      </w:r>
      <w:r w:rsidRPr="009C2830">
        <w:rPr>
          <w:rFonts w:eastAsia="Times New Roman"/>
          <w:lang w:eastAsia="en-GB"/>
        </w:rPr>
        <w:t>, IP address of the common EAS accessed by the UEs with the same Traffic Correlation ID, for the application identified by the Service data flow template.</w:t>
      </w:r>
    </w:p>
    <w:p w14:paraId="39FAF1CE"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FQDN(s)</w:t>
      </w:r>
      <w:r w:rsidRPr="009C2830">
        <w:rPr>
          <w:rFonts w:eastAsia="Times New Roman"/>
          <w:lang w:eastAsia="en-GB"/>
        </w:rPr>
        <w:t>, FQDN(s) for the application traffic identified by the Service data flow template, and used for influencing EASDF-based DNS query procedure as defined in TS 23.548 [33].</w:t>
      </w:r>
    </w:p>
    <w:p w14:paraId="6B1B3B55"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NEF Information, Notification Endpoint of the NEF responsible of the set of UEs associated with the Traffic correlation ID.</w:t>
      </w:r>
    </w:p>
    <w:p w14:paraId="0EC021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Traffic Steering Enforcement Control</w:t>
      </w:r>
      <w:r w:rsidRPr="009C2830">
        <w:rPr>
          <w:rFonts w:eastAsia="Times New Roman"/>
          <w:lang w:eastAsia="en-GB"/>
        </w:rPr>
        <w:t xml:space="preserve"> may contain Indication of UE IP address preservation. The SMF takes this indication into account when determining whether to reselect PSA UPF, as specified in clause 5.6.7 of TS 23.501 [2].</w:t>
      </w:r>
    </w:p>
    <w:p w14:paraId="7BCCE5C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Redirect</w:t>
      </w:r>
      <w:r w:rsidRPr="009C2830">
        <w:rPr>
          <w:rFonts w:eastAsia="Times New Roman"/>
          <w:lang w:eastAsia="en-GB"/>
        </w:rPr>
        <w:t xml:space="preserve"> indicates whether the uplink part of the service data flow should be redirected to a controlled address.</w:t>
      </w:r>
    </w:p>
    <w:p w14:paraId="7E9883F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Redirect Destination</w:t>
      </w:r>
      <w:r w:rsidRPr="009C2830">
        <w:rPr>
          <w:rFonts w:eastAsia="Times New Roman"/>
          <w:lang w:eastAsia="en-GB"/>
        </w:rPr>
        <w:t xml:space="preserve"> indicates the target redirect address when </w:t>
      </w:r>
      <w:r w:rsidRPr="009C2830">
        <w:rPr>
          <w:rFonts w:eastAsia="Times New Roman"/>
          <w:i/>
          <w:lang w:eastAsia="en-GB"/>
        </w:rPr>
        <w:t>Redirect</w:t>
      </w:r>
      <w:r w:rsidRPr="009C2830">
        <w:rPr>
          <w:rFonts w:eastAsia="Times New Roman"/>
          <w:lang w:eastAsia="en-GB"/>
        </w:rPr>
        <w:t xml:space="preserve"> is enabled.</w:t>
      </w:r>
    </w:p>
    <w:p w14:paraId="3C0CB32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Maximum Packet Loss Rate</w:t>
      </w:r>
      <w:r w:rsidRPr="009C2830">
        <w:rPr>
          <w:rFonts w:eastAsia="Times New Roman"/>
          <w:lang w:eastAsia="en-GB"/>
        </w:rPr>
        <w:t xml:space="preserve"> indicates the maximum rate for lost packets that can be tolerated in the uplink direction.</w:t>
      </w:r>
    </w:p>
    <w:p w14:paraId="4E4230E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Maximum Packet Loss Rate</w:t>
      </w:r>
      <w:r w:rsidRPr="009C2830">
        <w:rPr>
          <w:rFonts w:eastAsia="Times New Roman"/>
          <w:lang w:eastAsia="en-GB"/>
        </w:rPr>
        <w:t xml:space="preserve"> indicates the maximum rate for lost packets that can be tolerated in the downlink direction.</w:t>
      </w:r>
    </w:p>
    <w:p w14:paraId="5C5A847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Application descriptors</w:t>
      </w:r>
      <w:r w:rsidRPr="009C2830">
        <w:rPr>
          <w:rFonts w:eastAsia="Times New Roman"/>
          <w:lang w:eastAsia="en-GB"/>
        </w:rPr>
        <w:t xml:space="preserve"> provides one or several instances of the </w:t>
      </w:r>
      <w:proofErr w:type="spellStart"/>
      <w:r w:rsidRPr="009C2830">
        <w:rPr>
          <w:rFonts w:eastAsia="Times New Roman"/>
          <w:lang w:eastAsia="en-GB"/>
        </w:rPr>
        <w:t>OSId</w:t>
      </w:r>
      <w:proofErr w:type="spellEnd"/>
      <w:r w:rsidRPr="009C2830">
        <w:rPr>
          <w:rFonts w:eastAsia="Times New Roman"/>
          <w:lang w:eastAsia="en-GB"/>
        </w:rPr>
        <w:t xml:space="preserve"> and </w:t>
      </w:r>
      <w:proofErr w:type="spellStart"/>
      <w:r w:rsidRPr="009C2830">
        <w:rPr>
          <w:rFonts w:eastAsia="Times New Roman"/>
          <w:lang w:eastAsia="en-GB"/>
        </w:rPr>
        <w:t>OSAppId</w:t>
      </w:r>
      <w:proofErr w:type="spellEnd"/>
      <w:r w:rsidRPr="009C2830">
        <w:rPr>
          <w:rFonts w:eastAsia="Times New Roman"/>
          <w:lang w:eastAsia="en-GB"/>
        </w:rPr>
        <w:t xml:space="preserve"> combination. It is used by the UE to identify the application traffic for which steering is required based on the Steering Functionality, the Steering Mode, the Steering Mode Indicator and the Threshold Values.</w:t>
      </w:r>
    </w:p>
    <w:p w14:paraId="17991A82"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Steering Functionality</w:t>
      </w:r>
      <w:r w:rsidRPr="009C2830">
        <w:rPr>
          <w:rFonts w:eastAsia="Times New Roman"/>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679AAD1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Steering Mode</w:t>
      </w:r>
      <w:r w:rsidRPr="009C2830">
        <w:rPr>
          <w:rFonts w:eastAsia="Times New Roman"/>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33EE35B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 xml:space="preserve">Steering Mode Indicator </w:t>
      </w:r>
      <w:r w:rsidRPr="009C2830">
        <w:rPr>
          <w:rFonts w:eastAsia="Times New Roman"/>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9C2830">
        <w:rPr>
          <w:rFonts w:eastAsia="Times New Roman"/>
          <w:i/>
          <w:iCs/>
          <w:lang w:eastAsia="en-GB"/>
        </w:rPr>
        <w:t>Steering Mode Indicator</w:t>
      </w:r>
      <w:r w:rsidRPr="009C2830">
        <w:rPr>
          <w:rFonts w:eastAsia="Times New Roman"/>
          <w:lang w:eastAsia="en-GB"/>
        </w:rPr>
        <w:t xml:space="preserve"> for the uplink equal to UE-assistance operation, then the PCF shall provide the same </w:t>
      </w:r>
      <w:r w:rsidRPr="009C2830">
        <w:rPr>
          <w:rFonts w:eastAsia="Times New Roman"/>
          <w:i/>
          <w:iCs/>
          <w:lang w:eastAsia="en-GB"/>
        </w:rPr>
        <w:t>Steering Mode Indicator</w:t>
      </w:r>
      <w:r w:rsidRPr="009C2830">
        <w:rPr>
          <w:rFonts w:eastAsia="Times New Roman"/>
          <w:lang w:eastAsia="en-GB"/>
        </w:rPr>
        <w:t xml:space="preserve"> for the downlink.</w:t>
      </w:r>
    </w:p>
    <w:p w14:paraId="548FDE2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Threshold Values</w:t>
      </w:r>
      <w:r w:rsidRPr="009C2830">
        <w:rPr>
          <w:rFonts w:eastAsia="Times New Roman"/>
          <w:lang w:eastAsia="en-GB"/>
        </w:rP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E4AB093"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lastRenderedPageBreak/>
        <w:t xml:space="preserve">The </w:t>
      </w:r>
      <w:r w:rsidRPr="009C2830">
        <w:rPr>
          <w:rFonts w:eastAsia="Times New Roman"/>
          <w:i/>
          <w:iCs/>
          <w:lang w:eastAsia="en-GB"/>
        </w:rPr>
        <w:t>Transport Mode</w:t>
      </w:r>
      <w:r w:rsidRPr="009C2830">
        <w:rPr>
          <w:rFonts w:eastAsia="Times New Roman"/>
          <w:lang w:eastAsia="en-GB"/>
        </w:rP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264BD8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Charging key for Non-3GPP access</w:t>
      </w:r>
      <w:r w:rsidRPr="009C2830">
        <w:rPr>
          <w:rFonts w:eastAsia="Times New Roman"/>
          <w:lang w:eastAsia="en-GB"/>
        </w:rPr>
        <w:t xml:space="preserve"> indicates the Charging key that shall be used for charging the detected service data flow traffic carried via Non-3GPP access. The other charging related parameters apply for both accesses.</w:t>
      </w:r>
    </w:p>
    <w:p w14:paraId="6DC80B3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Monitoring key for Non-3GPP access</w:t>
      </w:r>
      <w:r w:rsidRPr="009C2830">
        <w:rPr>
          <w:rFonts w:eastAsia="Times New Roman"/>
          <w:lang w:eastAsia="en-GB"/>
        </w:rPr>
        <w:t xml:space="preserve"> indicates the Monitoring key that shall be used for monitoring the usage of the detected service data flow traffic carried via Non-3GPP access.</w:t>
      </w:r>
    </w:p>
    <w:p w14:paraId="2E62D35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QoS Monitoring parameter(s)</w:t>
      </w:r>
      <w:r w:rsidRPr="009C2830">
        <w:rPr>
          <w:rFonts w:eastAsia="Times New Roman"/>
          <w:lang w:eastAsia="en-GB"/>
        </w:rPr>
        <w:t xml:space="preserve"> indicates the QoS Monitoring parameter(s) for which QoS Monitoring can be enabled for a service data flow as defined in clause 5.45 of TS 23.501 [2], e.g. the UL packet delay, DL packet delay or round trip packet delay between the UE and the UPF.</w:t>
      </w:r>
    </w:p>
    <w:p w14:paraId="2051739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Reporting frequency</w:t>
      </w:r>
      <w:r w:rsidRPr="009C2830">
        <w:rPr>
          <w:rFonts w:eastAsia="Times New Roman"/>
          <w:lang w:eastAsia="en-GB"/>
        </w:rPr>
        <w:t xml:space="preserve"> indicates the frequency for the reporting, such as event triggered, periodic. The following applies:</w:t>
      </w:r>
    </w:p>
    <w:p w14:paraId="6FCB2A6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If the </w:t>
      </w:r>
      <w:r w:rsidRPr="009C2830">
        <w:rPr>
          <w:rFonts w:eastAsia="Times New Roman"/>
          <w:i/>
          <w:lang w:eastAsia="en-GB"/>
        </w:rPr>
        <w:t>Reporting frequency</w:t>
      </w:r>
      <w:r w:rsidRPr="009C2830">
        <w:rPr>
          <w:rFonts w:eastAsia="Times New Roman"/>
          <w:lang w:eastAsia="en-GB"/>
        </w:rPr>
        <w:t xml:space="preserve"> indicates "periodic", the </w:t>
      </w:r>
      <w:r w:rsidRPr="009C2830">
        <w:rPr>
          <w:rFonts w:eastAsia="Times New Roman"/>
          <w:i/>
          <w:iCs/>
          <w:lang w:eastAsia="en-GB"/>
        </w:rPr>
        <w:t>reporting period</w:t>
      </w:r>
      <w:r w:rsidRPr="009C2830">
        <w:rPr>
          <w:rFonts w:eastAsia="Times New Roman"/>
          <w:lang w:eastAsia="en-GB"/>
        </w:rPr>
        <w:t xml:space="preserve"> shall also be included in the PCC rule.</w:t>
      </w:r>
    </w:p>
    <w:p w14:paraId="6027DD55"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reporting period</w:t>
      </w:r>
      <w:r w:rsidRPr="009C2830">
        <w:rPr>
          <w:rFonts w:eastAsia="Times New Roman"/>
          <w:lang w:eastAsia="en-GB"/>
        </w:rPr>
        <w:t xml:space="preserve"> shall also be used for reporting measurement failure in any of the </w:t>
      </w:r>
      <w:r w:rsidRPr="009C2830">
        <w:rPr>
          <w:rFonts w:eastAsia="Times New Roman"/>
          <w:i/>
          <w:iCs/>
          <w:lang w:eastAsia="en-GB"/>
        </w:rPr>
        <w:t>Reporting frequency</w:t>
      </w:r>
      <w:r w:rsidRPr="009C2830">
        <w:rPr>
          <w:rFonts w:eastAsia="Times New Roman"/>
          <w:lang w:eastAsia="en-GB"/>
        </w:rPr>
        <w:t xml:space="preserve"> modes "periodic" or "event triggered".</w:t>
      </w:r>
    </w:p>
    <w:p w14:paraId="7462ED34"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12:</w:t>
      </w:r>
      <w:r w:rsidRPr="009C2830">
        <w:rPr>
          <w:rFonts w:eastAsia="Times New Roman"/>
          <w:lang w:eastAsia="en-GB"/>
        </w:rPr>
        <w:tab/>
        <w:t xml:space="preserve">The indication of a measurement failure is not possible or not supported for some </w:t>
      </w:r>
      <w:r w:rsidRPr="009C2830">
        <w:rPr>
          <w:rFonts w:eastAsia="Times New Roman"/>
          <w:i/>
          <w:iCs/>
          <w:lang w:eastAsia="en-GB"/>
        </w:rPr>
        <w:t>QoS Monitoring parameter(s)</w:t>
      </w:r>
      <w:r w:rsidRPr="009C2830">
        <w:rPr>
          <w:rFonts w:eastAsia="Times New Roman"/>
          <w:lang w:eastAsia="en-GB"/>
        </w:rPr>
        <w:t xml:space="preserve"> (as described in the respective clauses of clause 5.45 of TS 23.501 [2]).</w:t>
      </w:r>
    </w:p>
    <w:p w14:paraId="1232D03D"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If the </w:t>
      </w:r>
      <w:r w:rsidRPr="009C2830">
        <w:rPr>
          <w:rFonts w:eastAsia="Times New Roman"/>
          <w:i/>
          <w:lang w:eastAsia="en-GB"/>
        </w:rPr>
        <w:t>Reporting frequency</w:t>
      </w:r>
      <w:r w:rsidRPr="009C2830">
        <w:rPr>
          <w:rFonts w:eastAsia="Times New Roman"/>
          <w:lang w:eastAsia="en-GB"/>
        </w:rPr>
        <w:t xml:space="preserve"> indicates "event triggered", the </w:t>
      </w:r>
      <w:r w:rsidRPr="009C2830">
        <w:rPr>
          <w:rFonts w:eastAsia="Times New Roman"/>
          <w:i/>
          <w:iCs/>
          <w:lang w:eastAsia="en-GB"/>
        </w:rPr>
        <w:t>reporting period</w:t>
      </w:r>
      <w:r w:rsidRPr="009C2830">
        <w:rPr>
          <w:rFonts w:eastAsia="Times New Roman"/>
          <w:lang w:eastAsia="en-GB"/>
        </w:rPr>
        <w:t xml:space="preserve">, </w:t>
      </w:r>
      <w:r w:rsidRPr="009C2830">
        <w:rPr>
          <w:rFonts w:eastAsia="Times New Roman"/>
          <w:i/>
          <w:iCs/>
          <w:lang w:eastAsia="en-GB"/>
        </w:rPr>
        <w:t>Reporting threshold(s)</w:t>
      </w:r>
      <w:r w:rsidRPr="009C2830">
        <w:rPr>
          <w:rFonts w:eastAsia="Times New Roman"/>
          <w:lang w:eastAsia="en-GB"/>
        </w:rPr>
        <w:t xml:space="preserve"> and the </w:t>
      </w:r>
      <w:r w:rsidRPr="009C2830">
        <w:rPr>
          <w:rFonts w:eastAsia="Times New Roman"/>
          <w:i/>
          <w:iCs/>
          <w:lang w:eastAsia="en-GB"/>
        </w:rPr>
        <w:t>minimum waiting time</w:t>
      </w:r>
      <w:r w:rsidRPr="009C2830">
        <w:rPr>
          <w:rFonts w:eastAsia="Times New Roman"/>
          <w:lang w:eastAsia="en-GB"/>
        </w:rPr>
        <w:t xml:space="preserve"> shall also be included in the PCC rule. The </w:t>
      </w:r>
      <w:r w:rsidRPr="009C2830">
        <w:rPr>
          <w:rFonts w:eastAsia="Times New Roman"/>
          <w:i/>
          <w:iCs/>
          <w:lang w:eastAsia="en-GB"/>
        </w:rPr>
        <w:t>Reporting threshold(s)</w:t>
      </w:r>
      <w:r w:rsidRPr="009C2830">
        <w:rPr>
          <w:rFonts w:eastAsia="Times New Roman"/>
          <w:lang w:eastAsia="en-GB"/>
        </w:rPr>
        <w:t xml:space="preserve"> indicates the measurement threshold for each of the included </w:t>
      </w:r>
      <w:r w:rsidRPr="009C2830">
        <w:rPr>
          <w:rFonts w:eastAsia="Times New Roman"/>
          <w:i/>
          <w:iCs/>
          <w:lang w:eastAsia="en-GB"/>
        </w:rPr>
        <w:t>QoS Monitoring parameter(s)</w:t>
      </w:r>
      <w:r w:rsidRPr="009C2830">
        <w:rPr>
          <w:rFonts w:eastAsia="Times New Roman"/>
          <w:lang w:eastAsia="en-GB"/>
        </w:rPr>
        <w:t xml:space="preserve">. The </w:t>
      </w:r>
      <w:r w:rsidRPr="009C2830">
        <w:rPr>
          <w:rFonts w:eastAsia="Times New Roman"/>
          <w:i/>
          <w:iCs/>
          <w:lang w:eastAsia="en-GB"/>
        </w:rPr>
        <w:t>minimum waiting time</w:t>
      </w:r>
      <w:r w:rsidRPr="009C2830">
        <w:rPr>
          <w:rFonts w:eastAsia="Times New Roman"/>
          <w:lang w:eastAsia="en-GB"/>
        </w:rPr>
        <w:t xml:space="preserve"> indicates the minimum time interval between subsequent reports.</w:t>
      </w:r>
    </w:p>
    <w:p w14:paraId="426B80D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Target of reporting</w:t>
      </w:r>
      <w:r w:rsidRPr="009C2830">
        <w:rPr>
          <w:rFonts w:eastAsia="Times New Roman"/>
          <w:lang w:eastAsia="en-GB"/>
        </w:rPr>
        <w:t xml:space="preserve"> indicates the target for the QoS Monitoring reports sent as notifications. It can be either the NEF, the AF or the Local NEF, indicated as Notification Target Address + Notification Correlation ID.</w:t>
      </w:r>
    </w:p>
    <w:p w14:paraId="31397E6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Indication of direct event notification</w:t>
      </w:r>
      <w:r w:rsidRPr="009C2830">
        <w:rPr>
          <w:rFonts w:eastAsia="Times New Roman"/>
          <w:lang w:eastAsia="en-GB"/>
        </w:rPr>
        <w:t xml:space="preserve"> indicates that the QoS Monitoring reports shall be sent by the UPF directly to the NF indicated by the Target of reporting (i.e. to the Local NEF or the AF as described in clause 5.8.2.18 of TS 23.501 [2]).</w:t>
      </w:r>
    </w:p>
    <w:p w14:paraId="05B43E1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proofErr w:type="spellStart"/>
      <w:r w:rsidRPr="009C2830">
        <w:rPr>
          <w:rFonts w:eastAsia="Times New Roman"/>
          <w:i/>
          <w:iCs/>
          <w:lang w:eastAsia="en-GB"/>
        </w:rPr>
        <w:t>DataCollection_ApplicationIdentifier</w:t>
      </w:r>
      <w:proofErr w:type="spellEnd"/>
      <w:r w:rsidRPr="009C2830">
        <w:rPr>
          <w:rFonts w:eastAsia="Times New Roman"/>
          <w:lang w:eastAsia="en-GB"/>
        </w:rPr>
        <w:t xml:space="preserve"> is provided to assist the SMF when it needs to decide whether this PCC Rule corresponds to an event exposure subscription (see clause 4.15.4.4 of TS 23.502 [3]).</w:t>
      </w:r>
    </w:p>
    <w:p w14:paraId="6EBFDDE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 xml:space="preserve">Alternative QoS Parameter Set(s) </w:t>
      </w:r>
      <w:r w:rsidRPr="009C2830">
        <w:rPr>
          <w:rFonts w:eastAsia="Times New Roman"/>
          <w:lang w:eastAsia="en-GB"/>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51B12BC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content of the </w:t>
      </w:r>
      <w:r w:rsidRPr="009C2830">
        <w:rPr>
          <w:rFonts w:eastAsia="Times New Roman"/>
          <w:i/>
          <w:iCs/>
          <w:lang w:eastAsia="en-GB"/>
        </w:rPr>
        <w:t>TSC Assistance Container</w:t>
      </w:r>
      <w:r w:rsidRPr="009C2830">
        <w:rPr>
          <w:rFonts w:eastAsia="Times New Roman"/>
          <w:lang w:eastAsia="en-GB"/>
        </w:rPr>
        <w:t xml:space="preserve"> is defined in clause 5.27.2 of TS 23.501 [2].</w:t>
      </w:r>
    </w:p>
    <w:p w14:paraId="14E86B8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Traffic Parameter Information</w:t>
      </w:r>
      <w:r w:rsidRPr="009C2830">
        <w:rPr>
          <w:rFonts w:eastAsia="Times New Roman"/>
          <w:lang w:eastAsia="en-GB"/>
        </w:rPr>
        <w:t xml:space="preserve"> applies to the power saving as specified in clause 5.37.8 of TS 23.501 [2]. The following parameters are included:</w:t>
      </w:r>
    </w:p>
    <w:p w14:paraId="3372AAE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Periodicity</w:t>
      </w:r>
      <w:r w:rsidRPr="009C2830">
        <w:rPr>
          <w:rFonts w:eastAsia="Times New Roman"/>
          <w:lang w:eastAsia="en-GB"/>
        </w:rPr>
        <w:t>:</w:t>
      </w:r>
    </w:p>
    <w:p w14:paraId="51145AD4"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indicates the time period between start of two data bursts in UL and/or DL direction.</w:t>
      </w:r>
    </w:p>
    <w:p w14:paraId="14ED6636"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this parameter is only included when PCF receives the periodicity information from AF.</w:t>
      </w:r>
    </w:p>
    <w:p w14:paraId="7276EE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Traffic Parameter Measurement</w:t>
      </w:r>
      <w:r w:rsidRPr="009C2830">
        <w:rPr>
          <w:rFonts w:eastAsia="Times New Roman"/>
          <w:lang w:eastAsia="en-GB"/>
        </w:rPr>
        <w:t xml:space="preserve"> applies to the power saving as specified in clause 5.37.8 of TS 23.501 [2]. The following parameters are included:</w:t>
      </w:r>
    </w:p>
    <w:p w14:paraId="57A39AA9"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Traffic Parameter to be measured</w:t>
      </w:r>
      <w:r w:rsidRPr="009C2830">
        <w:rPr>
          <w:rFonts w:eastAsia="Times New Roman"/>
          <w:lang w:eastAsia="en-GB"/>
        </w:rPr>
        <w:t>:</w:t>
      </w:r>
    </w:p>
    <w:p w14:paraId="3A7131D1"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UL and/or DL periodicity. This parameter is only included when PCF does not receive the periodicity information from AF.</w:t>
      </w:r>
    </w:p>
    <w:p w14:paraId="2390F266"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N6 jitter range associated with DL Periodicity.</w:t>
      </w:r>
    </w:p>
    <w:p w14:paraId="0AAFF3D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lastRenderedPageBreak/>
        <w:t>-</w:t>
      </w:r>
      <w:r w:rsidRPr="009C2830">
        <w:rPr>
          <w:rFonts w:eastAsia="Times New Roman"/>
          <w:lang w:eastAsia="en-GB"/>
        </w:rPr>
        <w:tab/>
      </w:r>
      <w:r w:rsidRPr="009C2830">
        <w:rPr>
          <w:rFonts w:eastAsia="Times New Roman"/>
          <w:i/>
          <w:iCs/>
          <w:lang w:eastAsia="en-GB"/>
        </w:rPr>
        <w:t>reporting condition</w:t>
      </w:r>
      <w:r w:rsidRPr="009C2830">
        <w:rPr>
          <w:rFonts w:eastAsia="Times New Roman"/>
          <w:lang w:eastAsia="en-GB"/>
        </w:rPr>
        <w:t xml:space="preserve"> can be optionally included to define the condition for the reporting, such as event triggered or periodic, frequency.</w:t>
      </w:r>
    </w:p>
    <w:p w14:paraId="1B2B6A1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Downlink Data Notification Control</w:t>
      </w:r>
      <w:r w:rsidRPr="009C2830">
        <w:rPr>
          <w:rFonts w:eastAsia="Times New Roman"/>
          <w:lang w:eastAsia="en-GB"/>
        </w:rPr>
        <w:t xml:space="preserve"> applies to the control of subscription to Downlink Data Delivery status event notifications and DDN Failure event notifications as specified in clause 4.15.3 of TS 23.502 [3]. The following parameters are included:</w:t>
      </w:r>
    </w:p>
    <w:p w14:paraId="6B909631"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Notification control for DDD status</w:t>
      </w:r>
      <w:r w:rsidRPr="009C2830">
        <w:rPr>
          <w:rFonts w:eastAsia="Times New Roman"/>
          <w:lang w:eastAsia="en-GB"/>
        </w:rPr>
        <w:t xml:space="preserve"> applies as described in clause 4.15.3.2.8 of TS 23.502 [3] and contains the following parameters:</w:t>
      </w:r>
    </w:p>
    <w:p w14:paraId="24DEC05A"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indication that notifications of Downlink Data Delivery status are required; and</w:t>
      </w:r>
    </w:p>
    <w:p w14:paraId="1085FB90"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the requested type of such notifications (notifications about downlink packets being buffered, and/or discarded).</w:t>
      </w:r>
    </w:p>
    <w:p w14:paraId="7F1085F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Notification Control for DDN Failure</w:t>
      </w:r>
      <w:r w:rsidRPr="009C2830">
        <w:rPr>
          <w:rFonts w:eastAsia="Times New Roman"/>
          <w:lang w:eastAsia="en-GB"/>
        </w:rPr>
        <w:t xml:space="preserve"> applies as described in clause 4.15.3.2.9 of TS 23.502 [3] and contains the following parameters:</w:t>
      </w:r>
    </w:p>
    <w:p w14:paraId="37F17ACD"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indication that notifications of DDN Failure are required.</w:t>
      </w:r>
    </w:p>
    <w:p w14:paraId="4600EB5B"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12:</w:t>
      </w:r>
      <w:r w:rsidRPr="009C2830">
        <w:rPr>
          <w:rFonts w:eastAsia="Times New Roman"/>
          <w:lang w:eastAsia="en-GB"/>
        </w:rPr>
        <w:tab/>
        <w:t>Downlink Data Notification Control information is provided to assist the SMF in the generation/update of N4 information. The PCF will not be notified about the Downlink data delivery status events or the DDN Failure events.</w:t>
      </w:r>
    </w:p>
    <w:p w14:paraId="2C51D694" w14:textId="39BFBB2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PDU Set Control Information</w:t>
      </w:r>
      <w:r w:rsidRPr="009C2830">
        <w:rPr>
          <w:rFonts w:eastAsia="Times New Roman"/>
          <w:lang w:eastAsia="en-GB"/>
        </w:rPr>
        <w:t xml:space="preserve"> is needed to support the delivery of PDU Sets for a service data flow</w:t>
      </w:r>
      <w:ins w:id="40" w:author="Ericsson" w:date="2024-01-12T09:53:00Z">
        <w:r w:rsidR="009C4590">
          <w:rPr>
            <w:rFonts w:eastAsia="Times New Roman"/>
            <w:lang w:eastAsia="en-GB"/>
          </w:rPr>
          <w:t xml:space="preserve">. </w:t>
        </w:r>
        <w:r w:rsidR="006B5095" w:rsidRPr="006B5095">
          <w:rPr>
            <w:rFonts w:eastAsia="Times New Roman"/>
            <w:lang w:eastAsia="en-GB"/>
          </w:rPr>
          <w:t>The parameter values for UL and DL may be different</w:t>
        </w:r>
      </w:ins>
      <w:r w:rsidRPr="009C2830">
        <w:rPr>
          <w:rFonts w:eastAsia="Times New Roman"/>
          <w:lang w:eastAsia="en-GB"/>
        </w:rPr>
        <w:t xml:space="preserve"> (see clause 5.37.5 of TS 23.501 [2]).</w:t>
      </w:r>
    </w:p>
    <w:p w14:paraId="5AA1C168" w14:textId="1F72827C" w:rsidR="009C2830" w:rsidRPr="009C2830" w:rsidRDefault="009C2830" w:rsidP="009C2830">
      <w:pPr>
        <w:overflowPunct w:val="0"/>
        <w:autoSpaceDE w:val="0"/>
        <w:autoSpaceDN w:val="0"/>
        <w:adjustRightInd w:val="0"/>
        <w:textAlignment w:val="baseline"/>
        <w:rPr>
          <w:rFonts w:eastAsia="Times New Roman"/>
          <w:lang w:eastAsia="en-GB"/>
        </w:rPr>
      </w:pPr>
      <w:bookmarkStart w:id="41" w:name="_CR6_3_2"/>
      <w:bookmarkEnd w:id="41"/>
      <w:r w:rsidRPr="009C2830">
        <w:rPr>
          <w:rFonts w:eastAsia="Times New Roman"/>
          <w:lang w:eastAsia="en-GB"/>
        </w:rPr>
        <w:t xml:space="preserve">The </w:t>
      </w:r>
      <w:r w:rsidRPr="009C2830">
        <w:rPr>
          <w:rFonts w:eastAsia="Times New Roman"/>
          <w:i/>
          <w:iCs/>
          <w:lang w:eastAsia="en-GB"/>
        </w:rPr>
        <w:t>Protocol Description Information</w:t>
      </w:r>
      <w:r w:rsidRPr="009C2830">
        <w:rPr>
          <w:rFonts w:eastAsia="Times New Roman"/>
          <w:lang w:eastAsia="en-GB"/>
        </w:rPr>
        <w:t xml:space="preserve"> needed to support identifying PDU Set Information for </w:t>
      </w:r>
      <w:ins w:id="42" w:author="Ericsson" w:date="2024-01-12T09:54:00Z">
        <w:r w:rsidR="00832BBA">
          <w:rPr>
            <w:rFonts w:eastAsia="Times New Roman"/>
            <w:lang w:eastAsia="en-GB"/>
          </w:rPr>
          <w:t>DL</w:t>
        </w:r>
      </w:ins>
      <w:ins w:id="43" w:author="MediaTek Inc." w:date="2024-01-24T11:09:00Z">
        <w:r w:rsidR="00047373">
          <w:rPr>
            <w:rFonts w:eastAsia="Times New Roman"/>
            <w:lang w:eastAsia="en-GB"/>
          </w:rPr>
          <w:t>/UL</w:t>
        </w:r>
      </w:ins>
      <w:ins w:id="44" w:author="Ericsson" w:date="2024-01-12T09:54:00Z">
        <w:r w:rsidR="00832BBA">
          <w:rPr>
            <w:rFonts w:eastAsia="Times New Roman"/>
            <w:lang w:eastAsia="en-GB"/>
          </w:rPr>
          <w:t xml:space="preserve"> </w:t>
        </w:r>
      </w:ins>
      <w:r w:rsidRPr="009C2830">
        <w:rPr>
          <w:rFonts w:eastAsia="Times New Roman"/>
          <w:lang w:eastAsia="en-GB"/>
        </w:rPr>
        <w:t xml:space="preserve">packets and/or last packet of a </w:t>
      </w:r>
      <w:ins w:id="45" w:author="Ericsson" w:date="2024-01-12T09:54:00Z">
        <w:r w:rsidR="00832BBA">
          <w:rPr>
            <w:rFonts w:eastAsia="Times New Roman"/>
            <w:lang w:eastAsia="en-GB"/>
          </w:rPr>
          <w:t xml:space="preserve">DL </w:t>
        </w:r>
      </w:ins>
      <w:r w:rsidRPr="009C2830">
        <w:rPr>
          <w:rFonts w:eastAsia="Times New Roman"/>
          <w:lang w:eastAsia="en-GB"/>
        </w:rPr>
        <w:t>Data Burst</w:t>
      </w:r>
      <w:r w:rsidR="0039534B">
        <w:rPr>
          <w:rFonts w:eastAsia="Times New Roman"/>
          <w:lang w:eastAsia="en-GB"/>
        </w:rPr>
        <w:t xml:space="preserve">. </w:t>
      </w:r>
      <w:ins w:id="46" w:author="Ericsson" w:date="2024-01-12T09:54:00Z">
        <w:r w:rsidR="006E2CA4" w:rsidRPr="006E2CA4">
          <w:rPr>
            <w:rFonts w:eastAsia="Times New Roman"/>
            <w:lang w:eastAsia="en-GB"/>
          </w:rPr>
          <w:t>The Protocol Descriptions for UL and DL may be different</w:t>
        </w:r>
      </w:ins>
      <w:ins w:id="47" w:author="Chunshan Xiong - CATT-d2" w:date="2024-01-24T00:16:00Z">
        <w:r w:rsidR="00AD7E69" w:rsidRPr="009C2830">
          <w:rPr>
            <w:rFonts w:eastAsia="Times New Roman"/>
            <w:lang w:eastAsia="en-GB"/>
          </w:rPr>
          <w:t xml:space="preserve"> (see clause 5.37.5 of TS 23.501 [2])</w:t>
        </w:r>
      </w:ins>
      <w:ins w:id="48" w:author="Ericsson" w:date="2024-01-12T09:54:00Z">
        <w:r w:rsidR="006E2CA4" w:rsidRPr="006E2CA4">
          <w:rPr>
            <w:rFonts w:eastAsia="Times New Roman"/>
            <w:lang w:eastAsia="en-GB"/>
          </w:rPr>
          <w:t>.</w:t>
        </w:r>
      </w:ins>
    </w:p>
    <w:p w14:paraId="0A85A43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Data Burst Handling Information</w:t>
      </w:r>
      <w:r w:rsidRPr="009C2830">
        <w:rPr>
          <w:rFonts w:eastAsia="Times New Roman"/>
          <w:lang w:eastAsia="en-GB"/>
        </w:rPr>
        <w:t xml:space="preserve"> is needed to support detecting last PDU of the Data Burst and marking End of Data Burst Indication on the last packet of the Data Burst (see clause 5.37.8 of TS 23.501 [2]).</w:t>
      </w:r>
    </w:p>
    <w:p w14:paraId="0D4E2019" w14:textId="77777777" w:rsidR="00EE140C" w:rsidRPr="000D5FB8" w:rsidRDefault="00EE140C" w:rsidP="000D5FB8">
      <w:pPr>
        <w:overflowPunct w:val="0"/>
        <w:autoSpaceDE w:val="0"/>
        <w:autoSpaceDN w:val="0"/>
        <w:adjustRightInd w:val="0"/>
        <w:spacing w:after="0"/>
        <w:textAlignment w:val="baseline"/>
        <w:rPr>
          <w:rFonts w:eastAsia="Times New Roman"/>
          <w:lang w:eastAsia="en-GB"/>
        </w:rPr>
      </w:pPr>
    </w:p>
    <w:bookmarkEnd w:id="1"/>
    <w:bookmarkEnd w:id="2"/>
    <w:bookmarkEnd w:id="3"/>
    <w:bookmarkEnd w:id="4"/>
    <w:bookmarkEnd w:id="5"/>
    <w:bookmarkEnd w:id="6"/>
    <w:bookmarkEnd w:id="7"/>
    <w:p w14:paraId="256A2D8C" w14:textId="31E0D99D" w:rsidR="00912530" w:rsidRPr="00D222D9" w:rsidRDefault="004526D2" w:rsidP="00D222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0D0407">
        <w:rPr>
          <w:rFonts w:ascii="Arial" w:hAnsi="Arial" w:cs="Arial"/>
          <w:color w:val="FF0000"/>
          <w:sz w:val="28"/>
          <w:szCs w:val="28"/>
          <w:lang w:val="en-US"/>
        </w:rPr>
        <w:t>s</w:t>
      </w:r>
      <w:r>
        <w:rPr>
          <w:rFonts w:ascii="Arial" w:hAnsi="Arial" w:cs="Arial"/>
          <w:color w:val="FF0000"/>
          <w:sz w:val="28"/>
          <w:szCs w:val="28"/>
          <w:lang w:val="en-US"/>
        </w:rPr>
        <w:t xml:space="preserve"> * * * *</w:t>
      </w:r>
    </w:p>
    <w:sectPr w:rsidR="00912530" w:rsidRPr="00D222D9" w:rsidSect="00505B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E0B16" w14:textId="77777777" w:rsidR="00C120CC" w:rsidRDefault="00C120CC">
      <w:r>
        <w:separator/>
      </w:r>
    </w:p>
  </w:endnote>
  <w:endnote w:type="continuationSeparator" w:id="0">
    <w:p w14:paraId="3332FF9C" w14:textId="77777777" w:rsidR="00C120CC" w:rsidRDefault="00C120CC">
      <w:r>
        <w:continuationSeparator/>
      </w:r>
    </w:p>
  </w:endnote>
  <w:endnote w:type="continuationNotice" w:id="1">
    <w:p w14:paraId="703E92C3" w14:textId="77777777" w:rsidR="00C120CC" w:rsidRDefault="00C120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3B09" w14:textId="77777777" w:rsidR="009D1E00" w:rsidRDefault="009D1E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8553D" w14:textId="77777777" w:rsidR="009D1E00" w:rsidRDefault="009D1E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751B8" w14:textId="77777777" w:rsidR="009D1E00" w:rsidRDefault="009D1E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748EC" w14:textId="77777777" w:rsidR="00C120CC" w:rsidRDefault="00C120CC">
      <w:r>
        <w:separator/>
      </w:r>
    </w:p>
  </w:footnote>
  <w:footnote w:type="continuationSeparator" w:id="0">
    <w:p w14:paraId="1588BFB3" w14:textId="77777777" w:rsidR="00C120CC" w:rsidRDefault="00C120CC">
      <w:r>
        <w:continuationSeparator/>
      </w:r>
    </w:p>
  </w:footnote>
  <w:footnote w:type="continuationNotice" w:id="1">
    <w:p w14:paraId="37DA27D8" w14:textId="77777777" w:rsidR="00C120CC" w:rsidRDefault="00C120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5188" w14:textId="77777777" w:rsidR="009D1E00" w:rsidRDefault="009D1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1C1FF" w14:textId="77777777" w:rsidR="009D1E00" w:rsidRDefault="009D1E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Hui-D4">
    <w15:presenceInfo w15:providerId="None" w15:userId="Huawei-Hui-D4"/>
  </w15:person>
  <w15:person w15:author="MediaTek Inc.">
    <w15:presenceInfo w15:providerId="None" w15:userId="MediaTek Inc."/>
  </w15:person>
  <w15:person w15:author="Chunshan Xiong - CATT-d2">
    <w15:presenceInfo w15:providerId="None" w15:userId="Chunshan Xiong -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126A6"/>
    <w:rsid w:val="00022E4A"/>
    <w:rsid w:val="000248FA"/>
    <w:rsid w:val="000344B6"/>
    <w:rsid w:val="00047373"/>
    <w:rsid w:val="0005364D"/>
    <w:rsid w:val="00054841"/>
    <w:rsid w:val="00060167"/>
    <w:rsid w:val="00060B0F"/>
    <w:rsid w:val="00062B73"/>
    <w:rsid w:val="00062DBD"/>
    <w:rsid w:val="0006723C"/>
    <w:rsid w:val="00067A94"/>
    <w:rsid w:val="00070984"/>
    <w:rsid w:val="00083433"/>
    <w:rsid w:val="000841A3"/>
    <w:rsid w:val="00084CC6"/>
    <w:rsid w:val="000906EF"/>
    <w:rsid w:val="00091958"/>
    <w:rsid w:val="000A1AF2"/>
    <w:rsid w:val="000A6394"/>
    <w:rsid w:val="000B7FED"/>
    <w:rsid w:val="000C038A"/>
    <w:rsid w:val="000C1231"/>
    <w:rsid w:val="000C23E7"/>
    <w:rsid w:val="000C5294"/>
    <w:rsid w:val="000C6598"/>
    <w:rsid w:val="000D0407"/>
    <w:rsid w:val="000D0503"/>
    <w:rsid w:val="000D44B3"/>
    <w:rsid w:val="000D4A2B"/>
    <w:rsid w:val="000D5FB8"/>
    <w:rsid w:val="000E3A89"/>
    <w:rsid w:val="000F5387"/>
    <w:rsid w:val="000F592E"/>
    <w:rsid w:val="00100121"/>
    <w:rsid w:val="00100446"/>
    <w:rsid w:val="00104D90"/>
    <w:rsid w:val="00111443"/>
    <w:rsid w:val="00117BB3"/>
    <w:rsid w:val="0012024F"/>
    <w:rsid w:val="001239D1"/>
    <w:rsid w:val="00124B81"/>
    <w:rsid w:val="00124D46"/>
    <w:rsid w:val="00124DBC"/>
    <w:rsid w:val="00133047"/>
    <w:rsid w:val="0013654D"/>
    <w:rsid w:val="00143CBA"/>
    <w:rsid w:val="00143E02"/>
    <w:rsid w:val="00145058"/>
    <w:rsid w:val="00145D43"/>
    <w:rsid w:val="0014715F"/>
    <w:rsid w:val="001479FA"/>
    <w:rsid w:val="00147DFB"/>
    <w:rsid w:val="0015003E"/>
    <w:rsid w:val="001508E2"/>
    <w:rsid w:val="001559D4"/>
    <w:rsid w:val="00157F0D"/>
    <w:rsid w:val="00172400"/>
    <w:rsid w:val="001820E4"/>
    <w:rsid w:val="00184728"/>
    <w:rsid w:val="00186E14"/>
    <w:rsid w:val="0019038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1F7AE4"/>
    <w:rsid w:val="0020278D"/>
    <w:rsid w:val="00210211"/>
    <w:rsid w:val="00213CC9"/>
    <w:rsid w:val="0021623D"/>
    <w:rsid w:val="00217BD3"/>
    <w:rsid w:val="00224410"/>
    <w:rsid w:val="00225244"/>
    <w:rsid w:val="002263E4"/>
    <w:rsid w:val="00231978"/>
    <w:rsid w:val="00243609"/>
    <w:rsid w:val="00243C02"/>
    <w:rsid w:val="0024420B"/>
    <w:rsid w:val="002500C0"/>
    <w:rsid w:val="002544C5"/>
    <w:rsid w:val="0026004D"/>
    <w:rsid w:val="00262FFC"/>
    <w:rsid w:val="002640DD"/>
    <w:rsid w:val="002743A5"/>
    <w:rsid w:val="002759EE"/>
    <w:rsid w:val="00275D12"/>
    <w:rsid w:val="00280F16"/>
    <w:rsid w:val="002820F0"/>
    <w:rsid w:val="00284FEB"/>
    <w:rsid w:val="002860C4"/>
    <w:rsid w:val="0028614F"/>
    <w:rsid w:val="002955E6"/>
    <w:rsid w:val="00296309"/>
    <w:rsid w:val="002A4667"/>
    <w:rsid w:val="002A65DF"/>
    <w:rsid w:val="002A68FD"/>
    <w:rsid w:val="002B3D9D"/>
    <w:rsid w:val="002B5741"/>
    <w:rsid w:val="002B7299"/>
    <w:rsid w:val="002C672E"/>
    <w:rsid w:val="002D32F7"/>
    <w:rsid w:val="002E110A"/>
    <w:rsid w:val="002E249B"/>
    <w:rsid w:val="002E472E"/>
    <w:rsid w:val="002F019F"/>
    <w:rsid w:val="002F0814"/>
    <w:rsid w:val="002F3B12"/>
    <w:rsid w:val="002F7FC6"/>
    <w:rsid w:val="0030043F"/>
    <w:rsid w:val="00300DCB"/>
    <w:rsid w:val="00301531"/>
    <w:rsid w:val="00301DD9"/>
    <w:rsid w:val="0030285C"/>
    <w:rsid w:val="00304BED"/>
    <w:rsid w:val="00305409"/>
    <w:rsid w:val="00314B26"/>
    <w:rsid w:val="0032025A"/>
    <w:rsid w:val="00320332"/>
    <w:rsid w:val="00323651"/>
    <w:rsid w:val="0032526E"/>
    <w:rsid w:val="00326AC9"/>
    <w:rsid w:val="00332528"/>
    <w:rsid w:val="003400AE"/>
    <w:rsid w:val="00340B17"/>
    <w:rsid w:val="00345746"/>
    <w:rsid w:val="003469F4"/>
    <w:rsid w:val="00346A77"/>
    <w:rsid w:val="003506C9"/>
    <w:rsid w:val="003518C2"/>
    <w:rsid w:val="00352ADD"/>
    <w:rsid w:val="00357992"/>
    <w:rsid w:val="003609EF"/>
    <w:rsid w:val="00361F49"/>
    <w:rsid w:val="0036231A"/>
    <w:rsid w:val="00362B18"/>
    <w:rsid w:val="00365E31"/>
    <w:rsid w:val="00366895"/>
    <w:rsid w:val="00370813"/>
    <w:rsid w:val="00370929"/>
    <w:rsid w:val="003742AB"/>
    <w:rsid w:val="00374DD4"/>
    <w:rsid w:val="00380793"/>
    <w:rsid w:val="00384EFE"/>
    <w:rsid w:val="0039031C"/>
    <w:rsid w:val="003923A3"/>
    <w:rsid w:val="0039534B"/>
    <w:rsid w:val="003A2EF4"/>
    <w:rsid w:val="003B0DB0"/>
    <w:rsid w:val="003B1708"/>
    <w:rsid w:val="003B1A39"/>
    <w:rsid w:val="003B527E"/>
    <w:rsid w:val="003B53BF"/>
    <w:rsid w:val="003B549C"/>
    <w:rsid w:val="003B60A0"/>
    <w:rsid w:val="003D6466"/>
    <w:rsid w:val="003E0A10"/>
    <w:rsid w:val="003E1A36"/>
    <w:rsid w:val="003E2452"/>
    <w:rsid w:val="003E7DEF"/>
    <w:rsid w:val="00406E37"/>
    <w:rsid w:val="00410211"/>
    <w:rsid w:val="00410371"/>
    <w:rsid w:val="004118D2"/>
    <w:rsid w:val="0041316D"/>
    <w:rsid w:val="00414882"/>
    <w:rsid w:val="0041525A"/>
    <w:rsid w:val="0042257E"/>
    <w:rsid w:val="004242F1"/>
    <w:rsid w:val="00430545"/>
    <w:rsid w:val="00430665"/>
    <w:rsid w:val="00433718"/>
    <w:rsid w:val="004411D2"/>
    <w:rsid w:val="0044267A"/>
    <w:rsid w:val="004526D2"/>
    <w:rsid w:val="004530FD"/>
    <w:rsid w:val="0046316E"/>
    <w:rsid w:val="00471A8D"/>
    <w:rsid w:val="00472121"/>
    <w:rsid w:val="0048162E"/>
    <w:rsid w:val="00490990"/>
    <w:rsid w:val="004934CC"/>
    <w:rsid w:val="004961EF"/>
    <w:rsid w:val="004A0B4A"/>
    <w:rsid w:val="004A1005"/>
    <w:rsid w:val="004A50B1"/>
    <w:rsid w:val="004A565E"/>
    <w:rsid w:val="004A7006"/>
    <w:rsid w:val="004B0FFC"/>
    <w:rsid w:val="004B75B7"/>
    <w:rsid w:val="004C046C"/>
    <w:rsid w:val="004C1D84"/>
    <w:rsid w:val="004C2F8C"/>
    <w:rsid w:val="004C46CE"/>
    <w:rsid w:val="004C50B9"/>
    <w:rsid w:val="004C779F"/>
    <w:rsid w:val="004C7F60"/>
    <w:rsid w:val="004D0B08"/>
    <w:rsid w:val="004D2F7A"/>
    <w:rsid w:val="004D5C47"/>
    <w:rsid w:val="004D6A8F"/>
    <w:rsid w:val="004E1068"/>
    <w:rsid w:val="004E174E"/>
    <w:rsid w:val="004E43D2"/>
    <w:rsid w:val="004E65EF"/>
    <w:rsid w:val="004E782D"/>
    <w:rsid w:val="004F0EBA"/>
    <w:rsid w:val="004F2473"/>
    <w:rsid w:val="004F44DC"/>
    <w:rsid w:val="00500ADC"/>
    <w:rsid w:val="00503B96"/>
    <w:rsid w:val="00503BB0"/>
    <w:rsid w:val="005052EF"/>
    <w:rsid w:val="00505B39"/>
    <w:rsid w:val="00507127"/>
    <w:rsid w:val="005073BE"/>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6423C"/>
    <w:rsid w:val="00570770"/>
    <w:rsid w:val="0057494A"/>
    <w:rsid w:val="00575608"/>
    <w:rsid w:val="005826C2"/>
    <w:rsid w:val="00590CDC"/>
    <w:rsid w:val="00592D74"/>
    <w:rsid w:val="00592E6A"/>
    <w:rsid w:val="005957F1"/>
    <w:rsid w:val="005A4ED5"/>
    <w:rsid w:val="005A5B2A"/>
    <w:rsid w:val="005B1B80"/>
    <w:rsid w:val="005B4392"/>
    <w:rsid w:val="005B4877"/>
    <w:rsid w:val="005C04B9"/>
    <w:rsid w:val="005C4E14"/>
    <w:rsid w:val="005D1CFB"/>
    <w:rsid w:val="005D2CE8"/>
    <w:rsid w:val="005D3B53"/>
    <w:rsid w:val="005D7856"/>
    <w:rsid w:val="005E019D"/>
    <w:rsid w:val="005E2C44"/>
    <w:rsid w:val="005E2E96"/>
    <w:rsid w:val="005E3257"/>
    <w:rsid w:val="005E39D3"/>
    <w:rsid w:val="005E43A0"/>
    <w:rsid w:val="005F0EE1"/>
    <w:rsid w:val="005F1DFF"/>
    <w:rsid w:val="005F557F"/>
    <w:rsid w:val="006030A5"/>
    <w:rsid w:val="00607EFF"/>
    <w:rsid w:val="006123B4"/>
    <w:rsid w:val="00613742"/>
    <w:rsid w:val="006201B1"/>
    <w:rsid w:val="00621188"/>
    <w:rsid w:val="00621A6E"/>
    <w:rsid w:val="006257ED"/>
    <w:rsid w:val="006311C8"/>
    <w:rsid w:val="00633A25"/>
    <w:rsid w:val="00634722"/>
    <w:rsid w:val="00641007"/>
    <w:rsid w:val="00645529"/>
    <w:rsid w:val="0065339F"/>
    <w:rsid w:val="006542AF"/>
    <w:rsid w:val="00657931"/>
    <w:rsid w:val="00661104"/>
    <w:rsid w:val="00664CD6"/>
    <w:rsid w:val="00665C47"/>
    <w:rsid w:val="006674AB"/>
    <w:rsid w:val="006676FB"/>
    <w:rsid w:val="0067079B"/>
    <w:rsid w:val="006737FD"/>
    <w:rsid w:val="0067495B"/>
    <w:rsid w:val="00675BF9"/>
    <w:rsid w:val="00682BA1"/>
    <w:rsid w:val="00686352"/>
    <w:rsid w:val="00691818"/>
    <w:rsid w:val="0069446E"/>
    <w:rsid w:val="00694D18"/>
    <w:rsid w:val="00695808"/>
    <w:rsid w:val="006A1303"/>
    <w:rsid w:val="006A4098"/>
    <w:rsid w:val="006A6853"/>
    <w:rsid w:val="006B3759"/>
    <w:rsid w:val="006B46FB"/>
    <w:rsid w:val="006B5095"/>
    <w:rsid w:val="006C012A"/>
    <w:rsid w:val="006C756F"/>
    <w:rsid w:val="006D0088"/>
    <w:rsid w:val="006D17F1"/>
    <w:rsid w:val="006D1836"/>
    <w:rsid w:val="006D2C0A"/>
    <w:rsid w:val="006D3FBA"/>
    <w:rsid w:val="006D5103"/>
    <w:rsid w:val="006E21FB"/>
    <w:rsid w:val="006E2CA4"/>
    <w:rsid w:val="006E3D91"/>
    <w:rsid w:val="006E4875"/>
    <w:rsid w:val="006E62F7"/>
    <w:rsid w:val="006F620B"/>
    <w:rsid w:val="00700B3A"/>
    <w:rsid w:val="00710AD2"/>
    <w:rsid w:val="00713D1F"/>
    <w:rsid w:val="00713D8F"/>
    <w:rsid w:val="00714E6B"/>
    <w:rsid w:val="007176FF"/>
    <w:rsid w:val="007207CC"/>
    <w:rsid w:val="00722429"/>
    <w:rsid w:val="00725BF5"/>
    <w:rsid w:val="00725E0C"/>
    <w:rsid w:val="0073037D"/>
    <w:rsid w:val="00730A18"/>
    <w:rsid w:val="00730ED3"/>
    <w:rsid w:val="007321AE"/>
    <w:rsid w:val="00735B6D"/>
    <w:rsid w:val="0074193C"/>
    <w:rsid w:val="007536A3"/>
    <w:rsid w:val="00753B2F"/>
    <w:rsid w:val="00757A43"/>
    <w:rsid w:val="00757E4E"/>
    <w:rsid w:val="00764CA9"/>
    <w:rsid w:val="007656A6"/>
    <w:rsid w:val="00771E95"/>
    <w:rsid w:val="00791E27"/>
    <w:rsid w:val="00792342"/>
    <w:rsid w:val="007977A8"/>
    <w:rsid w:val="007A3E3E"/>
    <w:rsid w:val="007A72B4"/>
    <w:rsid w:val="007B00A7"/>
    <w:rsid w:val="007B024F"/>
    <w:rsid w:val="007B2C38"/>
    <w:rsid w:val="007B3EDD"/>
    <w:rsid w:val="007B512A"/>
    <w:rsid w:val="007B6D36"/>
    <w:rsid w:val="007C2097"/>
    <w:rsid w:val="007C27BD"/>
    <w:rsid w:val="007C27FB"/>
    <w:rsid w:val="007C3D96"/>
    <w:rsid w:val="007C54D6"/>
    <w:rsid w:val="007C5C4E"/>
    <w:rsid w:val="007C670F"/>
    <w:rsid w:val="007C7CC9"/>
    <w:rsid w:val="007D0249"/>
    <w:rsid w:val="007D4943"/>
    <w:rsid w:val="007D6A07"/>
    <w:rsid w:val="007D6D6F"/>
    <w:rsid w:val="007E026C"/>
    <w:rsid w:val="007F158D"/>
    <w:rsid w:val="007F3163"/>
    <w:rsid w:val="007F47A9"/>
    <w:rsid w:val="007F7259"/>
    <w:rsid w:val="00800CE8"/>
    <w:rsid w:val="00801BFB"/>
    <w:rsid w:val="008040A8"/>
    <w:rsid w:val="00805652"/>
    <w:rsid w:val="0081492D"/>
    <w:rsid w:val="0081593D"/>
    <w:rsid w:val="00821990"/>
    <w:rsid w:val="00823FAA"/>
    <w:rsid w:val="008279FA"/>
    <w:rsid w:val="00830C23"/>
    <w:rsid w:val="008321E6"/>
    <w:rsid w:val="00832BBA"/>
    <w:rsid w:val="00832E15"/>
    <w:rsid w:val="00834F4B"/>
    <w:rsid w:val="00840558"/>
    <w:rsid w:val="00847860"/>
    <w:rsid w:val="00851078"/>
    <w:rsid w:val="008549D9"/>
    <w:rsid w:val="00856028"/>
    <w:rsid w:val="008626E7"/>
    <w:rsid w:val="00862A43"/>
    <w:rsid w:val="00870EE7"/>
    <w:rsid w:val="008741DB"/>
    <w:rsid w:val="0088604E"/>
    <w:rsid w:val="008863B9"/>
    <w:rsid w:val="00891D83"/>
    <w:rsid w:val="008A1E0B"/>
    <w:rsid w:val="008A3529"/>
    <w:rsid w:val="008A441E"/>
    <w:rsid w:val="008A45A6"/>
    <w:rsid w:val="008B03AD"/>
    <w:rsid w:val="008B505D"/>
    <w:rsid w:val="008B7532"/>
    <w:rsid w:val="008B7DF4"/>
    <w:rsid w:val="008C073E"/>
    <w:rsid w:val="008C603C"/>
    <w:rsid w:val="008C6E1C"/>
    <w:rsid w:val="008D23C4"/>
    <w:rsid w:val="008D35DC"/>
    <w:rsid w:val="008D42D9"/>
    <w:rsid w:val="008D44DD"/>
    <w:rsid w:val="008D4789"/>
    <w:rsid w:val="008E34D3"/>
    <w:rsid w:val="008E3AE7"/>
    <w:rsid w:val="008F0163"/>
    <w:rsid w:val="008F0C54"/>
    <w:rsid w:val="008F3789"/>
    <w:rsid w:val="008F3C27"/>
    <w:rsid w:val="008F4474"/>
    <w:rsid w:val="008F686C"/>
    <w:rsid w:val="008F73AF"/>
    <w:rsid w:val="00903451"/>
    <w:rsid w:val="00905173"/>
    <w:rsid w:val="00905848"/>
    <w:rsid w:val="0090586B"/>
    <w:rsid w:val="00912530"/>
    <w:rsid w:val="009148DE"/>
    <w:rsid w:val="009152E1"/>
    <w:rsid w:val="00915C1A"/>
    <w:rsid w:val="00917D5E"/>
    <w:rsid w:val="00925E9D"/>
    <w:rsid w:val="00933D42"/>
    <w:rsid w:val="00935EBF"/>
    <w:rsid w:val="00936332"/>
    <w:rsid w:val="00937691"/>
    <w:rsid w:val="0093797D"/>
    <w:rsid w:val="00941E30"/>
    <w:rsid w:val="00951B1E"/>
    <w:rsid w:val="009530A7"/>
    <w:rsid w:val="00954BE9"/>
    <w:rsid w:val="009640EB"/>
    <w:rsid w:val="00964C19"/>
    <w:rsid w:val="00964EA0"/>
    <w:rsid w:val="00966522"/>
    <w:rsid w:val="009708A0"/>
    <w:rsid w:val="0097481B"/>
    <w:rsid w:val="009777D9"/>
    <w:rsid w:val="0098011E"/>
    <w:rsid w:val="0098073D"/>
    <w:rsid w:val="00982854"/>
    <w:rsid w:val="00991B88"/>
    <w:rsid w:val="00994722"/>
    <w:rsid w:val="00996985"/>
    <w:rsid w:val="009A01BF"/>
    <w:rsid w:val="009A2964"/>
    <w:rsid w:val="009A3E93"/>
    <w:rsid w:val="009A4DAB"/>
    <w:rsid w:val="009A5753"/>
    <w:rsid w:val="009A579D"/>
    <w:rsid w:val="009A74C8"/>
    <w:rsid w:val="009A7EE9"/>
    <w:rsid w:val="009B0C3E"/>
    <w:rsid w:val="009B3536"/>
    <w:rsid w:val="009B605A"/>
    <w:rsid w:val="009B7841"/>
    <w:rsid w:val="009C01C7"/>
    <w:rsid w:val="009C12D2"/>
    <w:rsid w:val="009C1928"/>
    <w:rsid w:val="009C2830"/>
    <w:rsid w:val="009C4590"/>
    <w:rsid w:val="009C7DF8"/>
    <w:rsid w:val="009C7F6F"/>
    <w:rsid w:val="009D1E00"/>
    <w:rsid w:val="009D37A6"/>
    <w:rsid w:val="009D5899"/>
    <w:rsid w:val="009D6C1D"/>
    <w:rsid w:val="009D7EEE"/>
    <w:rsid w:val="009E3297"/>
    <w:rsid w:val="009E359B"/>
    <w:rsid w:val="009E3BA8"/>
    <w:rsid w:val="009E7727"/>
    <w:rsid w:val="009F135C"/>
    <w:rsid w:val="009F376C"/>
    <w:rsid w:val="009F734F"/>
    <w:rsid w:val="00A00FA0"/>
    <w:rsid w:val="00A02CA4"/>
    <w:rsid w:val="00A03E4C"/>
    <w:rsid w:val="00A12AD1"/>
    <w:rsid w:val="00A13BDB"/>
    <w:rsid w:val="00A15309"/>
    <w:rsid w:val="00A1790E"/>
    <w:rsid w:val="00A246B6"/>
    <w:rsid w:val="00A26800"/>
    <w:rsid w:val="00A26C40"/>
    <w:rsid w:val="00A306C3"/>
    <w:rsid w:val="00A309DF"/>
    <w:rsid w:val="00A315F3"/>
    <w:rsid w:val="00A32D53"/>
    <w:rsid w:val="00A34846"/>
    <w:rsid w:val="00A4065F"/>
    <w:rsid w:val="00A4620A"/>
    <w:rsid w:val="00A47E70"/>
    <w:rsid w:val="00A50CF0"/>
    <w:rsid w:val="00A51A05"/>
    <w:rsid w:val="00A52AC5"/>
    <w:rsid w:val="00A5679E"/>
    <w:rsid w:val="00A5727E"/>
    <w:rsid w:val="00A634F0"/>
    <w:rsid w:val="00A6391B"/>
    <w:rsid w:val="00A64205"/>
    <w:rsid w:val="00A655C2"/>
    <w:rsid w:val="00A65ECE"/>
    <w:rsid w:val="00A66F00"/>
    <w:rsid w:val="00A70821"/>
    <w:rsid w:val="00A71E58"/>
    <w:rsid w:val="00A7671C"/>
    <w:rsid w:val="00A76B5E"/>
    <w:rsid w:val="00A77274"/>
    <w:rsid w:val="00A8568B"/>
    <w:rsid w:val="00A870B6"/>
    <w:rsid w:val="00A876A8"/>
    <w:rsid w:val="00A90BBB"/>
    <w:rsid w:val="00A9470A"/>
    <w:rsid w:val="00A95236"/>
    <w:rsid w:val="00A96752"/>
    <w:rsid w:val="00AA2CBC"/>
    <w:rsid w:val="00AA7236"/>
    <w:rsid w:val="00AC1780"/>
    <w:rsid w:val="00AC31B7"/>
    <w:rsid w:val="00AC5820"/>
    <w:rsid w:val="00AC756B"/>
    <w:rsid w:val="00AC78A8"/>
    <w:rsid w:val="00AD1CD8"/>
    <w:rsid w:val="00AD3C42"/>
    <w:rsid w:val="00AD714E"/>
    <w:rsid w:val="00AD7E69"/>
    <w:rsid w:val="00AE1D0C"/>
    <w:rsid w:val="00AF0F1E"/>
    <w:rsid w:val="00AF104D"/>
    <w:rsid w:val="00AF10A8"/>
    <w:rsid w:val="00AF1420"/>
    <w:rsid w:val="00B026AA"/>
    <w:rsid w:val="00B061CC"/>
    <w:rsid w:val="00B104BE"/>
    <w:rsid w:val="00B10EF2"/>
    <w:rsid w:val="00B134FB"/>
    <w:rsid w:val="00B15C77"/>
    <w:rsid w:val="00B22A75"/>
    <w:rsid w:val="00B23B07"/>
    <w:rsid w:val="00B258BB"/>
    <w:rsid w:val="00B26BA2"/>
    <w:rsid w:val="00B27A9C"/>
    <w:rsid w:val="00B34428"/>
    <w:rsid w:val="00B34A29"/>
    <w:rsid w:val="00B371D8"/>
    <w:rsid w:val="00B40BA8"/>
    <w:rsid w:val="00B45939"/>
    <w:rsid w:val="00B45959"/>
    <w:rsid w:val="00B46A40"/>
    <w:rsid w:val="00B46D6F"/>
    <w:rsid w:val="00B52F0F"/>
    <w:rsid w:val="00B55393"/>
    <w:rsid w:val="00B56136"/>
    <w:rsid w:val="00B63D8A"/>
    <w:rsid w:val="00B66DC9"/>
    <w:rsid w:val="00B67B97"/>
    <w:rsid w:val="00B705D0"/>
    <w:rsid w:val="00B7480E"/>
    <w:rsid w:val="00B74C42"/>
    <w:rsid w:val="00B836AC"/>
    <w:rsid w:val="00B84C51"/>
    <w:rsid w:val="00B86701"/>
    <w:rsid w:val="00B87724"/>
    <w:rsid w:val="00B91A74"/>
    <w:rsid w:val="00B95492"/>
    <w:rsid w:val="00B968C8"/>
    <w:rsid w:val="00BA3EC5"/>
    <w:rsid w:val="00BA5194"/>
    <w:rsid w:val="00BA51D9"/>
    <w:rsid w:val="00BA75E6"/>
    <w:rsid w:val="00BB0999"/>
    <w:rsid w:val="00BB2AE9"/>
    <w:rsid w:val="00BB5DFC"/>
    <w:rsid w:val="00BD279D"/>
    <w:rsid w:val="00BD32C8"/>
    <w:rsid w:val="00BD6BB8"/>
    <w:rsid w:val="00BF051B"/>
    <w:rsid w:val="00C04447"/>
    <w:rsid w:val="00C06D2C"/>
    <w:rsid w:val="00C06F18"/>
    <w:rsid w:val="00C1116C"/>
    <w:rsid w:val="00C120CC"/>
    <w:rsid w:val="00C13D50"/>
    <w:rsid w:val="00C1651B"/>
    <w:rsid w:val="00C22A38"/>
    <w:rsid w:val="00C309CB"/>
    <w:rsid w:val="00C32B60"/>
    <w:rsid w:val="00C331C9"/>
    <w:rsid w:val="00C4167D"/>
    <w:rsid w:val="00C447C6"/>
    <w:rsid w:val="00C463ED"/>
    <w:rsid w:val="00C47F38"/>
    <w:rsid w:val="00C532F6"/>
    <w:rsid w:val="00C54EA8"/>
    <w:rsid w:val="00C559E4"/>
    <w:rsid w:val="00C567D4"/>
    <w:rsid w:val="00C60CF5"/>
    <w:rsid w:val="00C610E5"/>
    <w:rsid w:val="00C6342D"/>
    <w:rsid w:val="00C66909"/>
    <w:rsid w:val="00C66BA2"/>
    <w:rsid w:val="00C67519"/>
    <w:rsid w:val="00C703DE"/>
    <w:rsid w:val="00C72008"/>
    <w:rsid w:val="00C73530"/>
    <w:rsid w:val="00C86AD5"/>
    <w:rsid w:val="00C91542"/>
    <w:rsid w:val="00C95985"/>
    <w:rsid w:val="00C97489"/>
    <w:rsid w:val="00CA0010"/>
    <w:rsid w:val="00CA237C"/>
    <w:rsid w:val="00CC49F7"/>
    <w:rsid w:val="00CC5026"/>
    <w:rsid w:val="00CC68D0"/>
    <w:rsid w:val="00CD38FE"/>
    <w:rsid w:val="00CD4646"/>
    <w:rsid w:val="00CE12C2"/>
    <w:rsid w:val="00CF000C"/>
    <w:rsid w:val="00CF2D82"/>
    <w:rsid w:val="00CF3124"/>
    <w:rsid w:val="00CF41DE"/>
    <w:rsid w:val="00CF436E"/>
    <w:rsid w:val="00CF4A8E"/>
    <w:rsid w:val="00CF614A"/>
    <w:rsid w:val="00CF6E0E"/>
    <w:rsid w:val="00CF6FFE"/>
    <w:rsid w:val="00D000F5"/>
    <w:rsid w:val="00D01409"/>
    <w:rsid w:val="00D03F9A"/>
    <w:rsid w:val="00D05FD6"/>
    <w:rsid w:val="00D063E9"/>
    <w:rsid w:val="00D0668C"/>
    <w:rsid w:val="00D06AC2"/>
    <w:rsid w:val="00D06D51"/>
    <w:rsid w:val="00D10A3F"/>
    <w:rsid w:val="00D17A08"/>
    <w:rsid w:val="00D222D9"/>
    <w:rsid w:val="00D24991"/>
    <w:rsid w:val="00D32FA2"/>
    <w:rsid w:val="00D35499"/>
    <w:rsid w:val="00D47D7F"/>
    <w:rsid w:val="00D50255"/>
    <w:rsid w:val="00D5516F"/>
    <w:rsid w:val="00D63E6B"/>
    <w:rsid w:val="00D6506E"/>
    <w:rsid w:val="00D66520"/>
    <w:rsid w:val="00D66A0A"/>
    <w:rsid w:val="00D67287"/>
    <w:rsid w:val="00D73142"/>
    <w:rsid w:val="00D741BD"/>
    <w:rsid w:val="00D80A17"/>
    <w:rsid w:val="00D80A20"/>
    <w:rsid w:val="00D81978"/>
    <w:rsid w:val="00D87705"/>
    <w:rsid w:val="00D93FE2"/>
    <w:rsid w:val="00D96D6D"/>
    <w:rsid w:val="00DA4129"/>
    <w:rsid w:val="00DA55E8"/>
    <w:rsid w:val="00DB3BAB"/>
    <w:rsid w:val="00DC2217"/>
    <w:rsid w:val="00DC4B6B"/>
    <w:rsid w:val="00DC5181"/>
    <w:rsid w:val="00DC5DCD"/>
    <w:rsid w:val="00DD0FB6"/>
    <w:rsid w:val="00DD4B00"/>
    <w:rsid w:val="00DD56AE"/>
    <w:rsid w:val="00DE19C2"/>
    <w:rsid w:val="00DE34CF"/>
    <w:rsid w:val="00DE3970"/>
    <w:rsid w:val="00DE6C33"/>
    <w:rsid w:val="00DE6EBC"/>
    <w:rsid w:val="00DF195C"/>
    <w:rsid w:val="00DF2996"/>
    <w:rsid w:val="00DF74F7"/>
    <w:rsid w:val="00E000B7"/>
    <w:rsid w:val="00E03AE0"/>
    <w:rsid w:val="00E04250"/>
    <w:rsid w:val="00E0556C"/>
    <w:rsid w:val="00E07936"/>
    <w:rsid w:val="00E10A02"/>
    <w:rsid w:val="00E13F3D"/>
    <w:rsid w:val="00E1460D"/>
    <w:rsid w:val="00E165AF"/>
    <w:rsid w:val="00E24370"/>
    <w:rsid w:val="00E251AF"/>
    <w:rsid w:val="00E27745"/>
    <w:rsid w:val="00E34898"/>
    <w:rsid w:val="00E42EF9"/>
    <w:rsid w:val="00E46DAF"/>
    <w:rsid w:val="00E50348"/>
    <w:rsid w:val="00E5200E"/>
    <w:rsid w:val="00E5615B"/>
    <w:rsid w:val="00E6390C"/>
    <w:rsid w:val="00E649DB"/>
    <w:rsid w:val="00E675A8"/>
    <w:rsid w:val="00E77FC7"/>
    <w:rsid w:val="00E81FB1"/>
    <w:rsid w:val="00E83BC5"/>
    <w:rsid w:val="00E94EA9"/>
    <w:rsid w:val="00E95388"/>
    <w:rsid w:val="00E97EE5"/>
    <w:rsid w:val="00EA19F8"/>
    <w:rsid w:val="00EB09B7"/>
    <w:rsid w:val="00EB2AA7"/>
    <w:rsid w:val="00EB73B8"/>
    <w:rsid w:val="00EC1CCA"/>
    <w:rsid w:val="00EC27D4"/>
    <w:rsid w:val="00EC386A"/>
    <w:rsid w:val="00ED0C11"/>
    <w:rsid w:val="00ED37EA"/>
    <w:rsid w:val="00ED3963"/>
    <w:rsid w:val="00ED6651"/>
    <w:rsid w:val="00EE140C"/>
    <w:rsid w:val="00EE5200"/>
    <w:rsid w:val="00EE7D7C"/>
    <w:rsid w:val="00EF0993"/>
    <w:rsid w:val="00F02FBC"/>
    <w:rsid w:val="00F043D6"/>
    <w:rsid w:val="00F04E25"/>
    <w:rsid w:val="00F05591"/>
    <w:rsid w:val="00F14956"/>
    <w:rsid w:val="00F20EDB"/>
    <w:rsid w:val="00F22ABC"/>
    <w:rsid w:val="00F24076"/>
    <w:rsid w:val="00F25D98"/>
    <w:rsid w:val="00F25EB3"/>
    <w:rsid w:val="00F279C6"/>
    <w:rsid w:val="00F300FB"/>
    <w:rsid w:val="00F30179"/>
    <w:rsid w:val="00F33845"/>
    <w:rsid w:val="00F33C0C"/>
    <w:rsid w:val="00F34E38"/>
    <w:rsid w:val="00F36136"/>
    <w:rsid w:val="00F37CE4"/>
    <w:rsid w:val="00F5192C"/>
    <w:rsid w:val="00F600C6"/>
    <w:rsid w:val="00F64328"/>
    <w:rsid w:val="00F72E71"/>
    <w:rsid w:val="00F77393"/>
    <w:rsid w:val="00F86E13"/>
    <w:rsid w:val="00F90C93"/>
    <w:rsid w:val="00F93307"/>
    <w:rsid w:val="00F95DC3"/>
    <w:rsid w:val="00F9710D"/>
    <w:rsid w:val="00FA12B3"/>
    <w:rsid w:val="00FB05D0"/>
    <w:rsid w:val="00FB5941"/>
    <w:rsid w:val="00FB6386"/>
    <w:rsid w:val="00FC2586"/>
    <w:rsid w:val="00FC395F"/>
    <w:rsid w:val="00FD2A9A"/>
    <w:rsid w:val="00FD4277"/>
    <w:rsid w:val="00FD43F0"/>
    <w:rsid w:val="00FD63A6"/>
    <w:rsid w:val="00FE3A56"/>
    <w:rsid w:val="00FE7D6B"/>
    <w:rsid w:val="00FF02FB"/>
    <w:rsid w:val="00FF1D8F"/>
    <w:rsid w:val="00FF5148"/>
    <w:rsid w:val="20936B8C"/>
    <w:rsid w:val="2A212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3F0F6C-6C0E-4F6A-BCE0-CA74008CD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UnresolvedMention3">
    <w:name w:val="Unresolved Mention3"/>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customStyle="1" w:styleId="Mention1">
    <w:name w:val="Mention1"/>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C22AED-836D-4A8F-98B2-20F105605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A9C3C9-23FA-4B15-BEB5-4A0A8C53AE08}">
  <ds:schemaRefs>
    <ds:schemaRef ds:uri="http://schemas.openxmlformats.org/officeDocument/2006/bibliography"/>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16</Pages>
  <Words>8206</Words>
  <Characters>43128</Characters>
  <Application>Microsoft Office Word</Application>
  <DocSecurity>0</DocSecurity>
  <Lines>359</Lines>
  <Paragraphs>102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51232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Cañete</cp:lastModifiedBy>
  <cp:revision>21</cp:revision>
  <cp:lastPrinted>1900-01-01T06:00:00Z</cp:lastPrinted>
  <dcterms:created xsi:type="dcterms:W3CDTF">2024-01-29T12:10:00Z</dcterms:created>
  <dcterms:modified xsi:type="dcterms:W3CDTF">2024-01-29T14:00:00Z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y fmtid="{D5CDD505-2E9C-101B-9397-08002B2CF9AE}" pid="24" name="MSIP_Label_83bcef13-7cac-433f-ba1d-47a323951816_Enabled">
    <vt:lpwstr>true</vt:lpwstr>
  </property>
  <property fmtid="{D5CDD505-2E9C-101B-9397-08002B2CF9AE}" pid="25" name="MSIP_Label_83bcef13-7cac-433f-ba1d-47a323951816_SetDate">
    <vt:lpwstr>2024-01-24T10:24:01Z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012d34ef-ef72-427a-a23b-78ed95ee1c16</vt:lpwstr>
  </property>
  <property fmtid="{D5CDD505-2E9C-101B-9397-08002B2CF9AE}" pid="30" name="MSIP_Label_83bcef13-7cac-433f-ba1d-47a323951816_ContentBits">
    <vt:lpwstr>0</vt:lpwstr>
  </property>
</Properties>
</file>